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304" w:rsidRDefault="000C1304" w:rsidP="000C1304">
      <w:pPr>
        <w:textAlignment w:val="baseline"/>
        <w:rPr>
          <w:rFonts w:ascii="华文楷体" w:eastAsia="华文楷体" w:cs="华文楷体" w:hint="eastAsia"/>
          <w:b/>
          <w:bCs/>
          <w:kern w:val="0"/>
          <w:sz w:val="30"/>
          <w:szCs w:val="30"/>
        </w:rPr>
      </w:pPr>
    </w:p>
    <w:p w:rsidR="000C1304" w:rsidRPr="00DF0EE1" w:rsidRDefault="000C1304" w:rsidP="000C1304">
      <w:pPr>
        <w:textAlignment w:val="baseline"/>
        <w:rPr>
          <w:rFonts w:ascii="华文楷体" w:eastAsia="华文楷体" w:cs="华文楷体"/>
          <w:b/>
          <w:sz w:val="30"/>
          <w:szCs w:val="30"/>
        </w:rPr>
      </w:pPr>
      <w:r w:rsidRPr="00DF0EE1">
        <w:rPr>
          <w:rFonts w:ascii="华文楷体" w:eastAsia="华文楷体" w:cs="华文楷体" w:hint="eastAsia"/>
          <w:b/>
          <w:bCs/>
          <w:kern w:val="0"/>
          <w:sz w:val="30"/>
          <w:szCs w:val="30"/>
        </w:rPr>
        <w:t>附件</w:t>
      </w:r>
      <w:r>
        <w:rPr>
          <w:rFonts w:ascii="华文楷体" w:eastAsia="华文楷体" w:cs="华文楷体" w:hint="eastAsia"/>
          <w:b/>
          <w:bCs/>
          <w:kern w:val="0"/>
          <w:sz w:val="30"/>
          <w:szCs w:val="30"/>
        </w:rPr>
        <w:t>2</w:t>
      </w:r>
      <w:r w:rsidRPr="00DF0EE1">
        <w:rPr>
          <w:rFonts w:ascii="华文楷体" w:eastAsia="华文楷体" w:cs="华文楷体" w:hint="eastAsia"/>
          <w:b/>
          <w:bCs/>
          <w:kern w:val="0"/>
          <w:sz w:val="30"/>
          <w:szCs w:val="30"/>
        </w:rPr>
        <w:t>：线上讲师赵晓龙简历</w:t>
      </w:r>
    </w:p>
    <w:p w:rsidR="000C1304" w:rsidRDefault="000C1304" w:rsidP="000C1304">
      <w:pPr>
        <w:spacing w:line="360" w:lineRule="auto"/>
        <w:ind w:left="4620" w:hangingChars="2200" w:hanging="4620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4005580</wp:posOffset>
            </wp:positionH>
            <wp:positionV relativeFrom="paragraph">
              <wp:posOffset>883285</wp:posOffset>
            </wp:positionV>
            <wp:extent cx="1548159" cy="2565832"/>
            <wp:effectExtent l="0" t="0" r="0" b="127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59" cy="2565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楷体" w:eastAsia="华文楷体" w:cs="华文楷体" w:hint="eastAsia"/>
          <w:kern w:val="0"/>
          <w:sz w:val="24"/>
          <w:szCs w:val="24"/>
        </w:rPr>
        <w:t xml:space="preserve">                                      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华阳国际设计集团建筑产业化公司 副总经理</w:t>
      </w:r>
      <w:r>
        <w:rPr>
          <w:rFonts w:ascii="华文楷体" w:eastAsia="华文楷体" w:cs="华文楷体"/>
          <w:kern w:val="0"/>
          <w:sz w:val="24"/>
          <w:szCs w:val="24"/>
        </w:rPr>
        <w:t>/</w:t>
      </w:r>
      <w:r>
        <w:rPr>
          <w:rFonts w:ascii="华文楷体" w:eastAsia="华文楷体" w:cs="华文楷体" w:hint="eastAsia"/>
          <w:kern w:val="0"/>
          <w:sz w:val="24"/>
          <w:szCs w:val="24"/>
        </w:rPr>
        <w:t>总工程师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特区发展40年-深圳市装配式建筑高质量发展领军人物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BIAS装配式混凝土建筑专业委员会 主任委员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中国工程建设标准化协会建筑产业化分会 理事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中国建筑节能协会绿色装配式建筑产业分会 专家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广东省建设科技与标准化协会 装配式建筑专家委员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广东省勘察设计协会装配式分会 装配式建筑专家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广东省建设工程绿色与装配式发展协会 装配式建筑专家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广东省装配式建筑与绿色建材专家委员会 副主任委员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深圳市建设科学技术委员会 装配式建筑专业委员会成员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 xml:space="preserve">深圳市建筑产业化协会 </w:t>
      </w:r>
      <w:r>
        <w:rPr>
          <w:rFonts w:ascii="华文楷体" w:eastAsia="华文楷体" w:cs="华文楷体"/>
          <w:kern w:val="0"/>
          <w:sz w:val="24"/>
          <w:szCs w:val="24"/>
        </w:rPr>
        <w:t xml:space="preserve"> </w:t>
      </w:r>
      <w:r>
        <w:rPr>
          <w:rFonts w:ascii="华文楷体" w:eastAsia="华文楷体" w:cs="华文楷体" w:hint="eastAsia"/>
          <w:kern w:val="0"/>
          <w:sz w:val="24"/>
          <w:szCs w:val="24"/>
        </w:rPr>
        <w:t>资深专家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 xml:space="preserve">深圳市绿色建筑协会 </w:t>
      </w:r>
      <w:r>
        <w:rPr>
          <w:rFonts w:ascii="华文楷体" w:eastAsia="华文楷体" w:cs="华文楷体"/>
          <w:kern w:val="0"/>
          <w:sz w:val="24"/>
          <w:szCs w:val="24"/>
        </w:rPr>
        <w:t xml:space="preserve"> </w:t>
      </w:r>
      <w:r>
        <w:rPr>
          <w:rFonts w:ascii="华文楷体" w:eastAsia="华文楷体" w:cs="华文楷体" w:hint="eastAsia"/>
          <w:kern w:val="0"/>
          <w:sz w:val="24"/>
          <w:szCs w:val="24"/>
        </w:rPr>
        <w:t>专家委员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深圳市十佳青年工程师（结构）</w:t>
      </w:r>
    </w:p>
    <w:p w:rsidR="000C1304" w:rsidRDefault="000C1304" w:rsidP="000C1304">
      <w:pPr>
        <w:snapToGrid w:val="0"/>
        <w:spacing w:line="360" w:lineRule="auto"/>
        <w:jc w:val="left"/>
        <w:textAlignment w:val="baseline"/>
        <w:rPr>
          <w:rFonts w:ascii="华文楷体" w:eastAsia="华文楷体" w:cs="华文楷体"/>
          <w:kern w:val="0"/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海南省、重庆市、广州市、珠海市、东莞市、惠州市及汕头市装配式建筑专家库</w:t>
      </w:r>
      <w:bookmarkStart w:id="0" w:name="_GoBack"/>
      <w:r>
        <w:rPr>
          <w:rFonts w:ascii="华文楷体" w:eastAsia="华文楷体" w:cs="华文楷体" w:hint="eastAsia"/>
          <w:kern w:val="0"/>
          <w:sz w:val="24"/>
          <w:szCs w:val="24"/>
        </w:rPr>
        <w:t xml:space="preserve"> </w:t>
      </w:r>
      <w:bookmarkEnd w:id="0"/>
      <w:r>
        <w:rPr>
          <w:rFonts w:ascii="华文楷体" w:eastAsia="华文楷体" w:cs="华文楷体" w:hint="eastAsia"/>
          <w:kern w:val="0"/>
          <w:sz w:val="24"/>
          <w:szCs w:val="24"/>
        </w:rPr>
        <w:t>入库专家</w:t>
      </w:r>
    </w:p>
    <w:p w:rsidR="000C1304" w:rsidRDefault="000C1304" w:rsidP="000C1304">
      <w:pPr>
        <w:snapToGrid w:val="0"/>
        <w:spacing w:line="360" w:lineRule="auto"/>
        <w:ind w:firstLineChars="200" w:firstLine="480"/>
        <w:jc w:val="left"/>
        <w:textAlignment w:val="baseline"/>
        <w:rPr>
          <w:sz w:val="24"/>
          <w:szCs w:val="24"/>
        </w:rPr>
      </w:pPr>
      <w:r>
        <w:rPr>
          <w:rFonts w:ascii="华文楷体" w:eastAsia="华文楷体" w:cs="华文楷体" w:hint="eastAsia"/>
          <w:kern w:val="0"/>
          <w:sz w:val="24"/>
          <w:szCs w:val="24"/>
        </w:rPr>
        <w:t>华阳国际集团建筑产业化团队创建人之一，致力于装配式建筑研发与设计十五年，为装配式建筑行业最早的践行者与技术引领者，参与编制国标《装配式混凝土建筑技术标准》、广东省《装配式建筑评价标准》等国家、省、市装配式建筑规范、图集、指引及政策五十余项；参与二十多项课题研究；获得国家发明专利5项、实用新型专利20余项；完成万科云城、华润城三期等全国18个城市约150余项目超4000万平方米的装配式建筑设计及技术咨询工作。荣获”中国建筑学会科技进步奖二等奖”“第七届全国优秀建筑结构设计三等奖”、“广东省土木建筑学会科学技术奖励一等奖”、 “深圳市建筑产业化协会突出贡献奖”、 “深圳市产业发展与创新人才奖”等国家、省市、协会奖项二十余项。</w:t>
      </w:r>
    </w:p>
    <w:p w:rsidR="005E0C68" w:rsidRDefault="005E0C68"/>
    <w:sectPr w:rsidR="005E0C68" w:rsidSect="00EA7AA7">
      <w:pgSz w:w="11906" w:h="16838"/>
      <w:pgMar w:top="1327" w:right="1474" w:bottom="1327" w:left="1519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1304"/>
    <w:rsid w:val="000C1304"/>
    <w:rsid w:val="005E0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2022-04-13T02:29:00Z</dcterms:created>
  <dcterms:modified xsi:type="dcterms:W3CDTF">2022-04-13T02:31:00Z</dcterms:modified>
</cp:coreProperties>
</file>