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公文小标宋简" w:hAnsi="公文小标宋简" w:eastAsia="公文小标宋简" w:cs="公文小标宋简"/>
          <w:sz w:val="44"/>
          <w:szCs w:val="44"/>
        </w:rPr>
      </w:pPr>
    </w:p>
    <w:p>
      <w:pPr>
        <w:spacing w:line="560" w:lineRule="exact"/>
        <w:jc w:val="center"/>
        <w:rPr>
          <w:rFonts w:hint="eastAsia" w:ascii="公文小标宋简" w:hAnsi="公文小标宋简" w:eastAsia="公文小标宋简" w:cs="公文小标宋简"/>
          <w:sz w:val="44"/>
          <w:szCs w:val="44"/>
        </w:rPr>
      </w:pPr>
      <w:bookmarkStart w:id="0" w:name="_GoBack"/>
      <w:bookmarkEnd w:id="0"/>
      <w:r>
        <w:rPr>
          <w:rFonts w:hint="eastAsia" w:ascii="公文小标宋简" w:hAnsi="公文小标宋简" w:eastAsia="公文小标宋简" w:cs="公文小标宋简"/>
          <w:sz w:val="44"/>
          <w:szCs w:val="44"/>
        </w:rPr>
        <w:t>汕头市住建系统推进安全专项整治</w:t>
      </w:r>
    </w:p>
    <w:p>
      <w:pPr>
        <w:spacing w:line="560" w:lineRule="exact"/>
        <w:jc w:val="center"/>
        <w:rPr>
          <w:rFonts w:hint="eastAsia" w:ascii="公文小标宋简" w:hAnsi="公文小标宋简" w:eastAsia="公文小标宋简" w:cs="公文小标宋简"/>
          <w:sz w:val="44"/>
          <w:szCs w:val="44"/>
        </w:rPr>
      </w:pPr>
      <w:r>
        <w:rPr>
          <w:rFonts w:hint="eastAsia" w:ascii="公文小标宋简" w:hAnsi="公文小标宋简" w:eastAsia="公文小标宋简" w:cs="公文小标宋简"/>
          <w:sz w:val="44"/>
          <w:szCs w:val="44"/>
        </w:rPr>
        <w:t>工作方案</w:t>
      </w:r>
    </w:p>
    <w:p>
      <w:pPr>
        <w:spacing w:line="560" w:lineRule="exact"/>
        <w:jc w:val="center"/>
        <w:rPr>
          <w:rFonts w:hint="eastAsia" w:ascii="公文小标宋简" w:hAnsi="公文小标宋简" w:eastAsia="公文小标宋简" w:cs="公文小标宋简"/>
          <w:sz w:val="44"/>
          <w:szCs w:val="44"/>
        </w:rPr>
      </w:pPr>
    </w:p>
    <w:p>
      <w:pPr>
        <w:autoSpaceDE w:val="0"/>
        <w:autoSpaceDN w:val="0"/>
        <w:adjustRightInd w:val="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为深入贯彻落实市委第十一届八次全体会议精神，以及2018年12月21日、27日市委常委会会议和2018年12月25日市政府常务会议、市政府第一季度防范较大以上安全事故工作会议工作部署,进一步加强安全专项整治,切实改善市住建系统安全生产秩序,有效减少安全事故总量, 坚决防范遏制较大以上安全事故，促进安全生产状况稳定好转，全力维护社会大局安全稳定,结合住建系统实际，特制定本方案。</w:t>
      </w:r>
    </w:p>
    <w:p>
      <w:pPr>
        <w:autoSpaceDE w:val="0"/>
        <w:autoSpaceDN w:val="0"/>
        <w:adjustRightInd w:val="0"/>
        <w:jc w:val="left"/>
        <w:rPr>
          <w:rFonts w:hint="eastAsia" w:ascii="黑体" w:hAnsi="黑体" w:eastAsia="黑体" w:cs="黑体"/>
          <w:kern w:val="0"/>
          <w:sz w:val="32"/>
          <w:szCs w:val="32"/>
          <w:lang w:val="zh-CN"/>
        </w:rPr>
      </w:pPr>
      <w:r>
        <w:rPr>
          <w:rFonts w:hint="eastAsia" w:ascii="仿宋_GB2312" w:hAnsi="仿宋_GB2312" w:eastAsia="仿宋_GB2312" w:cs="仿宋_GB2312"/>
          <w:kern w:val="0"/>
          <w:sz w:val="32"/>
          <w:szCs w:val="32"/>
        </w:rPr>
        <w:t xml:space="preserve">   </w:t>
      </w:r>
      <w:r>
        <w:rPr>
          <w:rFonts w:hint="eastAsia" w:ascii="黑体" w:hAnsi="黑体" w:eastAsia="黑体" w:cs="黑体"/>
          <w:kern w:val="0"/>
          <w:sz w:val="32"/>
          <w:szCs w:val="32"/>
        </w:rPr>
        <w:t xml:space="preserve"> </w:t>
      </w:r>
      <w:r>
        <w:rPr>
          <w:rFonts w:hint="eastAsia" w:ascii="黑体" w:hAnsi="黑体" w:eastAsia="黑体" w:cs="黑体"/>
          <w:kern w:val="0"/>
          <w:sz w:val="32"/>
          <w:szCs w:val="32"/>
          <w:lang w:val="zh-CN"/>
        </w:rPr>
        <w:t>一、总体要求</w:t>
      </w:r>
    </w:p>
    <w:p>
      <w:pPr>
        <w:autoSpaceDE w:val="0"/>
        <w:autoSpaceDN w:val="0"/>
        <w:adjustRightInd w:val="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以习近平新时代中国特色社会主义思想为指引，认真贯彻落实党中央、国务院和省委、省政府关于安全防范工作的决策部署以及市委、市政府的工作要求，牢固树立安全发展理念，弘扬生命至上、安全第一的思想，坚守发展决不能以牺牲安全为代价这条不可逾越的红线，以防范较大以上安全事故为重点，深入开展建筑施工、城镇燃气安全专项整治。通过扎实推进建筑施工、城镇燃气安全专项整治，进一步巩固扩大去年以来重点行业领成效，进一步强化安全监管措施落实，严格开展安全执法监督检查，督促生产经营单位落实安全生产主体责任，持续不懈排查整治事故隐患，不断提升安全防范水平，为我市加快建设省域副中心城市和现代化沿海经济带重要发展极提供安全保障。</w:t>
      </w:r>
    </w:p>
    <w:p>
      <w:pPr>
        <w:spacing w:line="560" w:lineRule="exact"/>
        <w:rPr>
          <w:rFonts w:hint="eastAsia" w:ascii="黑体" w:hAnsi="黑体" w:eastAsia="黑体" w:cs="黑体"/>
          <w:sz w:val="32"/>
          <w:szCs w:val="32"/>
          <w:lang w:val="zh-CN"/>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 xml:space="preserve"> 二、专项整治</w:t>
      </w:r>
      <w:r>
        <w:rPr>
          <w:rFonts w:hint="eastAsia" w:ascii="黑体" w:hAnsi="黑体" w:eastAsia="黑体" w:cs="黑体"/>
          <w:sz w:val="32"/>
          <w:szCs w:val="32"/>
          <w:lang w:val="zh-CN"/>
        </w:rPr>
        <w:t>对象</w:t>
      </w:r>
    </w:p>
    <w:p>
      <w:pPr>
        <w:spacing w:line="560" w:lineRule="exact"/>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重点对全市</w:t>
      </w:r>
      <w:r>
        <w:rPr>
          <w:rFonts w:hint="eastAsia" w:ascii="仿宋_GB2312" w:hAnsi="仿宋_GB2312" w:eastAsia="仿宋_GB2312" w:cs="仿宋_GB2312"/>
          <w:sz w:val="32"/>
          <w:szCs w:val="32"/>
          <w:lang w:val="zh-CN"/>
        </w:rPr>
        <w:t>在建房屋、市政工程，</w:t>
      </w:r>
      <w:r>
        <w:rPr>
          <w:rFonts w:hint="eastAsia" w:ascii="仿宋_GB2312" w:hAnsi="仿宋_GB2312" w:eastAsia="仿宋_GB2312" w:cs="仿宋_GB2312"/>
          <w:sz w:val="32"/>
          <w:szCs w:val="32"/>
        </w:rPr>
        <w:t>燃气企业</w:t>
      </w:r>
      <w:r>
        <w:rPr>
          <w:rFonts w:hint="eastAsia" w:ascii="仿宋_GB2312" w:hAnsi="仿宋_GB2312" w:eastAsia="仿宋_GB2312" w:cs="仿宋_GB2312"/>
          <w:sz w:val="32"/>
          <w:szCs w:val="32"/>
          <w:lang w:val="zh-CN"/>
        </w:rPr>
        <w:t>进行专项治理。突出检查督查近期</w:t>
      </w:r>
      <w:r>
        <w:rPr>
          <w:rFonts w:hint="eastAsia" w:ascii="仿宋_GB2312" w:hAnsi="仿宋_GB2312" w:eastAsia="仿宋_GB2312" w:cs="仿宋_GB2312"/>
          <w:sz w:val="32"/>
          <w:szCs w:val="32"/>
        </w:rPr>
        <w:t>发生</w:t>
      </w:r>
      <w:r>
        <w:rPr>
          <w:rFonts w:hint="eastAsia" w:ascii="仿宋_GB2312" w:hAnsi="仿宋_GB2312" w:eastAsia="仿宋_GB2312" w:cs="仿宋_GB2312"/>
          <w:sz w:val="32"/>
          <w:szCs w:val="32"/>
          <w:lang w:val="zh-CN"/>
        </w:rPr>
        <w:t>事故的重点地区，突出</w:t>
      </w:r>
      <w:r>
        <w:rPr>
          <w:rFonts w:hint="eastAsia" w:ascii="仿宋_GB2312" w:hAnsi="仿宋_GB2312" w:eastAsia="仿宋_GB2312" w:cs="仿宋_GB2312"/>
          <w:sz w:val="32"/>
          <w:szCs w:val="32"/>
        </w:rPr>
        <w:t>整治</w:t>
      </w:r>
      <w:r>
        <w:rPr>
          <w:rFonts w:hint="eastAsia" w:ascii="仿宋_GB2312" w:hAnsi="仿宋_GB2312" w:eastAsia="仿宋_GB2312" w:cs="仿宋_GB2312"/>
          <w:sz w:val="32"/>
          <w:szCs w:val="32"/>
          <w:lang w:val="zh-CN"/>
        </w:rPr>
        <w:t>反复发生、长期未得到根治的重点问题。</w:t>
      </w:r>
    </w:p>
    <w:p>
      <w:pPr>
        <w:spacing w:line="560" w:lineRule="exact"/>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 xml:space="preserve"> 三、建筑施工安全专项整治</w:t>
      </w:r>
    </w:p>
    <w:p>
      <w:pPr>
        <w:spacing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（一）全面排查在建工程施工安全隐患</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企业主体自查。各建设、施工、监理企业项目负责人每个季度初都要对施工现场组织自查自纠,对照相关标准规范要求,对现场及安全管理资料进行全面细致的检查,对检查发现的问题及时落实整改,消除安全隐患。特别是对建筑起重机械、深基坑、高大模板支撑系统、脚手架等危险性较大的分部分项工程,施工企业应自查自纠,建设、监理企业认真督促施工企业落实整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2.全面排查。在企业自查的基础上，各区县、高新区、保税区、华侨试验区住房城乡建设主管部门, 市安监总站要认真组织复查，复查的范围要覆盖本地区所有在建房屋市政工程项目，做到不留死角，不走过场。在检査过程中,要按照《建筑施工安全检查标准》(JGJ59-2011)对每一项在建工程进行检查,发现隐患必须按规定签发执法文书，并按规定对责任单位及责任人员实施安全动态扣分等处罚措施。</w:t>
      </w:r>
    </w:p>
    <w:p>
      <w:pPr>
        <w:spacing w:line="560" w:lineRule="exact"/>
        <w:rPr>
          <w:rFonts w:hint="eastAsia" w:ascii="楷体" w:hAnsi="楷体" w:eastAsia="楷体" w:cs="楷体"/>
          <w:sz w:val="32"/>
          <w:szCs w:val="32"/>
        </w:rPr>
      </w:pPr>
      <w:r>
        <w:rPr>
          <w:rFonts w:hint="eastAsia" w:ascii="仿宋_GB2312" w:hAnsi="仿宋_GB2312" w:eastAsia="仿宋_GB2312" w:cs="仿宋_GB2312"/>
          <w:sz w:val="32"/>
          <w:szCs w:val="32"/>
        </w:rPr>
        <w:t xml:space="preserve">   </w:t>
      </w:r>
      <w:r>
        <w:rPr>
          <w:rFonts w:hint="eastAsia" w:ascii="楷体" w:hAnsi="楷体" w:eastAsia="楷体" w:cs="楷体"/>
          <w:sz w:val="32"/>
          <w:szCs w:val="32"/>
        </w:rPr>
        <w:t>（二）重点检查内容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1.有关法律、法规、规章和工程建设强制性标准执行情况。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2.工程项目各方责任主体履行法定安全责任的情况,贯彻落实工程施工安全生产有关规定的情况。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危险性较大的分部分项工程(特别是超过一定规模的危险性较大的分部分项工程,如:深基坑、高大模板支撑系统、建筑起重机械、外脚手架等)安全管理落实情况,包括专项施工方案是否按规范编制及审查审批的情况,施工现场是否严格按通过审查的方案实施的情况以及危险性较大的分部分项工程验收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4.消防设施设置情况,施工现场是否存在消防安全隐患。</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5.在建工程项目负责人、专职安全生产管理人员、现场监理管理人员持证上岗情况及其按规定到位履职情况,建筑施工特种作业人员持操作资格证书上岗的情况。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6.建筑起重机械执行法律法规及规范性条文落实情况。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7.在建工程项目安全防护措施落实情况,安全防护用品按规定使用情况。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8.在建工程项目临边洞口防护情况。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9.专业分包单位的安全管理情况。</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10.其他容易引发生产安全事故的分部分项工程。</w:t>
      </w:r>
    </w:p>
    <w:p>
      <w:pPr>
        <w:spacing w:line="560" w:lineRule="exact"/>
        <w:ind w:firstLine="680"/>
        <w:rPr>
          <w:rFonts w:hint="eastAsia" w:ascii="黑体" w:hAnsi="黑体" w:eastAsia="黑体" w:cs="黑体"/>
          <w:sz w:val="32"/>
          <w:szCs w:val="32"/>
        </w:rPr>
      </w:pPr>
      <w:r>
        <w:rPr>
          <w:rFonts w:hint="eastAsia" w:ascii="黑体" w:hAnsi="黑体" w:eastAsia="黑体" w:cs="黑体"/>
          <w:sz w:val="32"/>
          <w:szCs w:val="32"/>
        </w:rPr>
        <w:t>四、城镇燃气方面安全专项整治</w:t>
      </w:r>
    </w:p>
    <w:p>
      <w:pPr>
        <w:spacing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（一）全面排查燃气站点安全隐患</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企业主体自查。各燃气企业要认真对燃气生产经营环节安全进行自查，做到全面检查，不留死角、盲区和漏洞，彻底消除安全隐患，落实安全生产岗位责任制，确保燃气储配站、气化站、临时瓶组间及燃气管线等设备设施、安全附件、消防设施等安全运行。要组织对供气对象开展入户安全检查工作，加大对使用者的燃气安全知识普及力度。</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2.全面排查。在企业自查的基础上，各区县、高新区、保税区、华侨试验区住房城乡建设主管部门, 采取突击检查、明查暗访、随机抽查、回头检查等多种方式，深入到企业单位开展检查。对检查发现的违法违规行为，要依法严格查处。对发现的安全隐患，要督促相关单位严格落实整改责任，制定整改措施并立即整改，对重大安全隐患实行挂牌督办，确保整改到位。</w:t>
      </w:r>
    </w:p>
    <w:p>
      <w:pPr>
        <w:spacing w:line="560" w:lineRule="exact"/>
        <w:rPr>
          <w:rFonts w:hint="eastAsia" w:ascii="楷体" w:hAnsi="楷体" w:eastAsia="楷体" w:cs="楷体"/>
          <w:sz w:val="32"/>
          <w:szCs w:val="32"/>
        </w:rPr>
      </w:pPr>
      <w:r>
        <w:rPr>
          <w:rFonts w:hint="eastAsia" w:ascii="仿宋_GB2312" w:hAnsi="仿宋_GB2312" w:eastAsia="仿宋_GB2312" w:cs="仿宋_GB2312"/>
          <w:sz w:val="32"/>
          <w:szCs w:val="32"/>
        </w:rPr>
        <w:t xml:space="preserve">   </w:t>
      </w:r>
      <w:r>
        <w:rPr>
          <w:rFonts w:hint="eastAsia" w:ascii="楷体" w:hAnsi="楷体" w:eastAsia="楷体" w:cs="楷体"/>
          <w:sz w:val="32"/>
          <w:szCs w:val="32"/>
        </w:rPr>
        <w:t>（二）重点检查内容</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1.安全生产管理责任落实情况。重点检查安全生产管理制度建立和执行情况；主要负责人履职情况；安全生产管理机构或配备安全生产管理人员等情况。</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2.安全风险管控情况。重点检查燃气储存、供应、消防等安全生产重要设施完好状况和日常管理维护情况；对存在较大危险风险因素的生产环节进行识别和制定落实管控措施等情况。</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3.隐患排查治理情况。重点检查建立隐患排查治理制度、开展隐患自查自改情况；隐患排查发现问题及落实整改等情况。</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4.应急管理情况。重点检查应急组织体系建设和制度建设情况。编制应急预案和现场处置方案、组织应急演练、配备必要装备等情况。</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5.安全宣传教育情况。重点检查开展入户安全检查工作情况；燃气安全使用知识宣传情况；燃气从业人员持证上岗、培训等情况。</w:t>
      </w:r>
    </w:p>
    <w:p>
      <w:pPr>
        <w:autoSpaceDE w:val="0"/>
        <w:autoSpaceDN w:val="0"/>
        <w:adjustRightInd w:val="0"/>
        <w:spacing w:line="600" w:lineRule="exact"/>
        <w:jc w:val="left"/>
        <w:rPr>
          <w:rFonts w:hint="eastAsia" w:ascii="黑体" w:hAnsi="黑体" w:eastAsia="黑体" w:cs="黑体"/>
          <w:bCs/>
          <w:kern w:val="0"/>
          <w:sz w:val="32"/>
          <w:szCs w:val="32"/>
          <w:lang w:val="zh-CN"/>
        </w:rPr>
      </w:pPr>
      <w:r>
        <w:rPr>
          <w:rFonts w:hint="eastAsia" w:ascii="仿宋_GB2312" w:hAnsi="仿宋_GB2312" w:eastAsia="仿宋_GB2312" w:cs="仿宋_GB2312"/>
          <w:bCs/>
          <w:kern w:val="0"/>
          <w:sz w:val="32"/>
          <w:szCs w:val="32"/>
        </w:rPr>
        <w:t xml:space="preserve">   </w:t>
      </w:r>
      <w:r>
        <w:rPr>
          <w:rFonts w:hint="eastAsia" w:ascii="黑体" w:hAnsi="黑体" w:eastAsia="黑体" w:cs="黑体"/>
          <w:bCs/>
          <w:kern w:val="0"/>
          <w:sz w:val="32"/>
          <w:szCs w:val="32"/>
        </w:rPr>
        <w:t xml:space="preserve"> 五、</w:t>
      </w:r>
      <w:r>
        <w:rPr>
          <w:rFonts w:hint="eastAsia" w:ascii="黑体" w:hAnsi="黑体" w:eastAsia="黑体" w:cs="黑体"/>
          <w:bCs/>
          <w:kern w:val="0"/>
          <w:sz w:val="32"/>
          <w:szCs w:val="32"/>
          <w:lang w:val="zh-CN"/>
        </w:rPr>
        <w:t>工作要求</w:t>
      </w:r>
    </w:p>
    <w:p>
      <w:pPr>
        <w:autoSpaceDE w:val="0"/>
        <w:autoSpaceDN w:val="0"/>
        <w:adjustRightInd w:val="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各区县、高新区、保税区、华侨试验区住房城乡建设主管部门,市安监总站要把安全专项整治放在首要位置，以本次安全专项整治作为今年安全防范工作的重要抓手，加强组织领导，精心安排部署，明确职责任务，落实落细落小，确保建筑施工、城镇燃气安全专项整治取得实实在在成效。</w:t>
      </w:r>
    </w:p>
    <w:p>
      <w:pPr>
        <w:autoSpaceDE w:val="0"/>
        <w:autoSpaceDN w:val="0"/>
        <w:adjustRightInd w:val="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 xml:space="preserve">   （一）要把工作认真、细致的要求体现到建筑施工、城镇燃气安全专项整治全过程。一要把认真细致落实到最基层的一线、落实到最基础的环节，直至覆盖到生产一线的每个生产单位、班组和岗位，确保不留死角、不留盲区；二要把认真细致贯穿于安全自查自纠、隐患整治、执法检查、督查巡查等各个环节，坚持源头预控要细、过程管理要细、事故防范要细，坚决对查出的每一个事故隐患和安全生产违法违规行为实行“零容忍”、“全纠正”。</w:t>
      </w:r>
    </w:p>
    <w:p>
      <w:pPr>
        <w:autoSpaceDE w:val="0"/>
        <w:autoSpaceDN w:val="0"/>
        <w:adjustRightInd w:val="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要立即部署发动，迅速传导压力落实责任，把本次安全专项整治总体要求、任务分工和组织领导等内容迅速传达落实到每个层级、每个部门，直至到生产单位。同时，对整治发现的风险隐患，整改要快，对一般隐患即查即改，对重大隐患严格“五落实”。当前正处于岁末年初和市县两级机构改革关键时期，更要增强工作的预见性，提前制定处置预案，科学稳妥处置各类隐患、风险问题。</w:t>
      </w:r>
    </w:p>
    <w:p>
      <w:pPr>
        <w:autoSpaceDE w:val="0"/>
        <w:autoSpaceDN w:val="0"/>
        <w:adjustRightInd w:val="0"/>
        <w:jc w:val="left"/>
        <w:rPr>
          <w:rFonts w:hint="eastAsia" w:ascii="宋体" w:hAnsi="宋体" w:cs="宋体"/>
          <w:sz w:val="32"/>
          <w:szCs w:val="32"/>
        </w:rPr>
      </w:pPr>
      <w:r>
        <w:rPr>
          <w:rFonts w:hint="eastAsia" w:ascii="仿宋_GB2312" w:hAnsi="仿宋_GB2312" w:eastAsia="仿宋_GB2312" w:cs="仿宋_GB2312"/>
          <w:sz w:val="32"/>
          <w:szCs w:val="32"/>
        </w:rPr>
        <w:t xml:space="preserve">   （三）要坚持领导带队查，组织专家深入查，带着执法人员查，做到严格依法。对在安全专项整治中发现生产经营单位存在问题的，在扶持、指导的基础上，要加大执法监察力度，依法处理，该停工的要停工，该处罚的要处罚，出现严重问题的或存在严重违法行为的，该移交司法机关追究刑责的要移交。总之通过各种有效手段，督促生产单位落实安全生产主体责任，形成隐患排查治理“闭环体系”管理模式</w:t>
      </w:r>
      <w:r>
        <w:rPr>
          <w:rFonts w:hint="eastAsia" w:ascii="宋体" w:hAnsi="宋体" w:cs="宋体"/>
          <w:sz w:val="32"/>
          <w:szCs w:val="32"/>
        </w:rPr>
        <w:t>。</w:t>
      </w:r>
    </w:p>
    <w:p>
      <w:pPr>
        <w:autoSpaceDE w:val="0"/>
        <w:autoSpaceDN w:val="0"/>
        <w:adjustRightInd w:val="0"/>
        <w:jc w:val="left"/>
        <w:rPr>
          <w:rFonts w:hint="eastAsia" w:ascii="宋体" w:hAnsi="宋体" w:cs="宋体"/>
          <w:sz w:val="32"/>
          <w:szCs w:val="32"/>
        </w:rPr>
      </w:pPr>
    </w:p>
    <w:p>
      <w:pPr>
        <w:autoSpaceDE w:val="0"/>
        <w:autoSpaceDN w:val="0"/>
        <w:adjustRightInd w:val="0"/>
        <w:jc w:val="left"/>
        <w:rPr>
          <w:rFonts w:hint="eastAsia" w:ascii="宋体" w:hAnsi="宋体" w:cs="宋体"/>
          <w:sz w:val="32"/>
          <w:szCs w:val="32"/>
        </w:rPr>
      </w:pPr>
    </w:p>
    <w:p>
      <w:pPr>
        <w:autoSpaceDE w:val="0"/>
        <w:autoSpaceDN w:val="0"/>
        <w:adjustRightInd w:val="0"/>
        <w:jc w:val="left"/>
        <w:rPr>
          <w:rFonts w:hint="eastAsia" w:ascii="宋体" w:hAnsi="宋体" w:cs="宋体"/>
          <w:sz w:val="32"/>
          <w:szCs w:val="32"/>
        </w:rPr>
      </w:pPr>
    </w:p>
    <w:p>
      <w:pPr>
        <w:autoSpaceDE w:val="0"/>
        <w:autoSpaceDN w:val="0"/>
        <w:adjustRightInd w:val="0"/>
        <w:jc w:val="left"/>
        <w:rPr>
          <w:rFonts w:hint="eastAsia" w:ascii="宋体" w:hAnsi="宋体" w:cs="宋体"/>
          <w:sz w:val="32"/>
          <w:szCs w:val="32"/>
        </w:rPr>
      </w:pPr>
    </w:p>
    <w:p>
      <w:pPr>
        <w:autoSpaceDE w:val="0"/>
        <w:autoSpaceDN w:val="0"/>
        <w:adjustRightInd w:val="0"/>
        <w:jc w:val="left"/>
        <w:rPr>
          <w:rFonts w:hint="eastAsia" w:ascii="宋体" w:hAnsi="宋体" w:cs="宋体"/>
          <w:sz w:val="32"/>
          <w:szCs w:val="32"/>
        </w:rPr>
      </w:pPr>
    </w:p>
    <w:p>
      <w:pPr>
        <w:autoSpaceDE w:val="0"/>
        <w:autoSpaceDN w:val="0"/>
        <w:adjustRightInd w:val="0"/>
        <w:jc w:val="left"/>
        <w:rPr>
          <w:rFonts w:hint="eastAsia" w:ascii="宋体" w:hAnsi="宋体" w:cs="宋体"/>
          <w:sz w:val="32"/>
          <w:szCs w:val="32"/>
        </w:rPr>
      </w:pPr>
    </w:p>
    <w:p>
      <w:pPr>
        <w:autoSpaceDE w:val="0"/>
        <w:autoSpaceDN w:val="0"/>
        <w:adjustRightInd w:val="0"/>
        <w:jc w:val="left"/>
        <w:rPr>
          <w:rFonts w:hint="eastAsia" w:ascii="宋体" w:hAnsi="宋体" w:cs="宋体"/>
          <w:sz w:val="32"/>
          <w:szCs w:val="32"/>
        </w:rPr>
      </w:pPr>
    </w:p>
    <w:p>
      <w:pPr>
        <w:autoSpaceDE w:val="0"/>
        <w:autoSpaceDN w:val="0"/>
        <w:adjustRightInd w:val="0"/>
        <w:jc w:val="left"/>
        <w:rPr>
          <w:rFonts w:hint="eastAsia" w:ascii="宋体" w:hAnsi="宋体" w:cs="宋体"/>
          <w:sz w:val="32"/>
          <w:szCs w:val="32"/>
        </w:rPr>
      </w:pPr>
      <w:r>
        <w:rPr>
          <w:rFonts w:hint="eastAsia" w:ascii="仿宋_GB2312" w:eastAsia="仿宋_GB2312"/>
          <w:sz w:val="32"/>
          <w:szCs w:val="32"/>
        </w:rPr>
        <w:pict>
          <v:rect id="_x0000_i1025" o:spt="1" style="height:1pt;width:439.35pt;" fillcolor="#000000" filled="t" stroked="f" coordsize="21600,21600" o:hr="t" o:hrstd="t" o:hrnoshade="t" o:hralign="center">
            <v:path/>
            <v:fill on="t" focussize="0,0"/>
            <v:stroke on="f"/>
            <v:imagedata o:title=""/>
            <o:lock v:ext="edit" grouping="f" rotation="f" text="f" aspectratio="f"/>
            <w10:wrap type="none"/>
            <w10:anchorlock/>
          </v:rect>
        </w:pict>
      </w:r>
    </w:p>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抄送：市安委办</w:t>
      </w:r>
    </w:p>
    <w:p>
      <w:pPr>
        <w:tabs>
          <w:tab w:val="left" w:pos="3990"/>
        </w:tabs>
        <w:wordWrap w:val="0"/>
        <w:spacing w:beforeLines="0" w:afterLines="0" w:line="320" w:lineRule="exact"/>
        <w:ind w:left="0" w:leftChars="0" w:firstLine="0" w:firstLineChars="0"/>
        <w:jc w:val="center"/>
        <w:rPr>
          <w:rFonts w:hint="eastAsia" w:ascii="仿宋_GB2312" w:eastAsia="仿宋_GB2312"/>
          <w:sz w:val="32"/>
          <w:szCs w:val="32"/>
        </w:rPr>
      </w:pPr>
      <w:r>
        <w:rPr>
          <w:rFonts w:hint="eastAsia" w:ascii="仿宋_GB2312" w:eastAsia="仿宋_GB2312"/>
          <w:sz w:val="32"/>
          <w:szCs w:val="32"/>
        </w:rPr>
        <w:pict>
          <v:rect id="_x0000_i1026" o:spt="1" style="height:1pt;width:439.35pt;" fillcolor="#000000" filled="t" stroked="f" coordsize="21600,21600" o:hr="t" o:hrstd="t" o:hrnoshade="t" o:hralign="center">
            <v:path/>
            <v:fill on="t" focussize="0,0"/>
            <v:stroke on="f"/>
            <v:imagedata o:title=""/>
            <o:lock v:ext="edit" grouping="f" rotation="f" text="f" aspectratio="f"/>
            <w10:wrap type="none"/>
            <w10:anchorlock/>
          </v:rect>
        </w:pic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320" w:firstLineChars="10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spacing w:beforeLines="0" w:afterLines="0" w:line="320" w:lineRule="exact"/>
        <w:ind w:left="0" w:leftChars="0" w:firstLine="320" w:firstLineChars="100"/>
        <w:rPr>
          <w:rFonts w:hint="eastAsia" w:ascii="仿宋_GB2312" w:eastAsia="仿宋_GB2312"/>
          <w:sz w:val="32"/>
          <w:szCs w:val="32"/>
        </w:rPr>
      </w:pPr>
      <w:r>
        <w:rPr>
          <w:rFonts w:hint="eastAsia" w:ascii="仿宋_GB2312" w:eastAsia="仿宋_GB2312"/>
          <w:sz w:val="32"/>
          <w:szCs w:val="32"/>
        </w:rPr>
        <w:t xml:space="preserve">汕头市住房和城乡建设局办公室  </w:t>
      </w:r>
      <w:r>
        <w:rPr>
          <w:rFonts w:hint="eastAsia" w:ascii="仿宋_GB2312" w:hAnsi="仿宋_GB2312" w:eastAsia="仿宋_GB2312" w:cs="仿宋_GB2312"/>
          <w:sz w:val="32"/>
          <w:szCs w:val="32"/>
        </w:rPr>
        <w:t>2019年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日</w:t>
      </w:r>
      <w:r>
        <w:rPr>
          <w:rFonts w:hint="eastAsia" w:ascii="仿宋_GB2312" w:eastAsia="仿宋_GB2312"/>
          <w:sz w:val="32"/>
          <w:szCs w:val="32"/>
        </w:rPr>
        <w:t>印发</w:t>
      </w:r>
    </w:p>
    <w:p>
      <w:pPr>
        <w:spacing w:beforeLines="0" w:afterLines="0" w:line="320" w:lineRule="exact"/>
        <w:ind w:left="0" w:leftChars="0" w:firstLine="0" w:firstLineChars="0"/>
        <w:rPr>
          <w:rFonts w:hint="eastAsia" w:ascii="仿宋_GB2312" w:eastAsia="仿宋_GB2312"/>
          <w:sz w:val="32"/>
          <w:szCs w:val="32"/>
        </w:rPr>
      </w:pPr>
      <w:r>
        <w:rPr>
          <w:rFonts w:hint="eastAsia" w:ascii="仿宋_GB2312" w:eastAsia="仿宋_GB2312"/>
          <w:sz w:val="32"/>
          <w:szCs w:val="32"/>
        </w:rPr>
        <w:pict>
          <v:rect id="_x0000_i1027" o:spt="1" style="height:1pt;width:439.35pt;" fillcolor="#000000" filled="t" stroked="f" coordsize="21600,21600" o:hr="t" o:hrstd="t" o:hrnoshade="t" o:hralign="center">
            <v:path/>
            <v:fill on="t" focussize="0,0"/>
            <v:stroke on="f"/>
            <v:imagedata o:title=""/>
            <o:lock v:ext="edit" grouping="f" rotation="f" text="f" aspectratio="f"/>
            <w10:wrap type="none"/>
            <w10:anchorlock/>
          </v:rect>
        </w:pic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r>
        <w:rPr>
          <w:rFonts w:hint="eastAsia" w:ascii="仿宋_GB2312" w:eastAsia="仿宋_GB2312"/>
          <w:sz w:val="32"/>
          <w:szCs w:val="32"/>
        </w:rPr>
        <w:t xml:space="preserve"> </w:t>
      </w:r>
      <w:r>
        <w:rPr>
          <w:rFonts w:hint="eastAsia" w:ascii="仿宋_GB2312" w:hAnsi="仿宋_GB2312" w:eastAsia="仿宋_GB2312" w:cs="仿宋_GB2312"/>
          <w:sz w:val="32"/>
          <w:szCs w:val="32"/>
        </w:rPr>
        <w:t>校对人：</w:t>
      </w:r>
      <w:r>
        <w:rPr>
          <w:rFonts w:hint="eastAsia" w:ascii="仿宋_GB2312" w:hAnsi="华文中宋" w:eastAsia="仿宋_GB2312"/>
          <w:sz w:val="32"/>
          <w:szCs w:val="32"/>
          <w:lang w:eastAsia="zh-CN"/>
        </w:rPr>
        <w:t>张健武</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（共印</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公文小标宋简">
    <w:altName w:val="宋体"/>
    <w:panose1 w:val="02010609010101010101"/>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A73D87"/>
    <w:rsid w:val="7EA73D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2019-02-01T08:48:00Z</dcterms:created>
  <dc:creator>半点</dc:creator>
  <cp:lastModifiedBy>半点</cp:lastModifiedBy>
  <dcterms:modified xsi:type="dcterms:W3CDTF">2019-02-01T08:48:22Z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