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附件：</w:t>
      </w:r>
    </w:p>
    <w:p>
      <w:pPr>
        <w:spacing w:line="580" w:lineRule="exact"/>
        <w:jc w:val="center"/>
        <w:rPr>
          <w:rFonts w:ascii="宋体" w:hAnsi="宋体" w:cs="宋体"/>
          <w:kern w:val="1"/>
          <w:sz w:val="44"/>
          <w:szCs w:val="44"/>
          <w:lang w:bidi="hi-IN"/>
        </w:rPr>
      </w:pPr>
      <w:r>
        <w:rPr>
          <w:rFonts w:hint="eastAsia" w:ascii="宋体" w:hAnsi="宋体" w:cs="仿宋_GB2312"/>
          <w:kern w:val="1"/>
          <w:sz w:val="44"/>
          <w:szCs w:val="44"/>
          <w:lang w:bidi="hi-IN"/>
        </w:rPr>
        <w:t>各抽检项目</w:t>
      </w:r>
      <w:r>
        <w:rPr>
          <w:rFonts w:hint="eastAsia" w:ascii="宋体" w:hAnsi="宋体" w:cs="宋体"/>
          <w:kern w:val="1"/>
          <w:sz w:val="44"/>
          <w:szCs w:val="44"/>
          <w:lang w:bidi="hi-IN"/>
        </w:rPr>
        <w:t>检查情况表</w:t>
      </w:r>
    </w:p>
    <w:tbl>
      <w:tblPr>
        <w:tblStyle w:val="5"/>
        <w:tblW w:w="14913" w:type="dxa"/>
        <w:jc w:val="center"/>
        <w:tblInd w:w="-176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1205"/>
        <w:gridCol w:w="1245"/>
        <w:gridCol w:w="1230"/>
        <w:gridCol w:w="1207"/>
        <w:gridCol w:w="8070"/>
        <w:gridCol w:w="121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7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2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12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建设单位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施工企业</w:t>
            </w:r>
          </w:p>
        </w:tc>
        <w:tc>
          <w:tcPr>
            <w:tcW w:w="12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监理企业</w:t>
            </w:r>
          </w:p>
        </w:tc>
        <w:tc>
          <w:tcPr>
            <w:tcW w:w="8070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存在主要问题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整改落实责任单位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1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2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  <w:t>汕头市珠港新城市政及配套（一期）工程（一阶段）</w:t>
            </w:r>
          </w:p>
        </w:tc>
        <w:tc>
          <w:tcPr>
            <w:tcW w:w="12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  <w:t>汕头市珠港新城投资开发有限公司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  <w:t>深圳市金河建设集团有限公司</w:t>
            </w:r>
          </w:p>
        </w:tc>
        <w:tc>
          <w:tcPr>
            <w:tcW w:w="12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  <w:t>广东中山建设监理咨询有限公司</w:t>
            </w:r>
          </w:p>
        </w:tc>
        <w:tc>
          <w:tcPr>
            <w:tcW w:w="8070" w:type="dxa"/>
            <w:vAlign w:val="center"/>
          </w:tcPr>
          <w:p>
            <w:pPr>
              <w:spacing w:line="240" w:lineRule="auto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工程质量管理方面：</w:t>
            </w:r>
          </w:p>
          <w:p>
            <w:pPr>
              <w:pStyle w:val="6"/>
              <w:ind w:firstLine="0" w:firstLineChars="0"/>
              <w:rPr>
                <w:rFonts w:hint="eastAsia" w:ascii="仿宋_GB2312" w:hAnsi="Times New Roman" w:eastAsia="仿宋_GB2312" w:cs="Times New Roman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  <w:lang w:eastAsia="zh-CN"/>
              </w:rPr>
              <w:t>该工程采用水泥搅拌桩处理地基，地基处理欠办理验收手续。</w:t>
            </w:r>
          </w:p>
          <w:p>
            <w:pPr>
              <w:pStyle w:val="6"/>
              <w:ind w:firstLine="0" w:firstLineChars="0"/>
              <w:rPr>
                <w:rFonts w:hint="eastAsia" w:ascii="仿宋_GB2312" w:eastAsia="仿宋_GB2312"/>
                <w:b/>
                <w:lang w:eastAsia="zh-CN"/>
              </w:rPr>
            </w:pPr>
            <w:r>
              <w:rPr>
                <w:rFonts w:hint="eastAsia" w:ascii="仿宋_GB2312" w:eastAsia="仿宋_GB2312"/>
                <w:b/>
                <w:lang w:eastAsia="zh-CN"/>
              </w:rPr>
              <w:t>火灾防控方面：</w:t>
            </w:r>
          </w:p>
          <w:p>
            <w:pPr>
              <w:pStyle w:val="6"/>
              <w:ind w:firstLine="0" w:firstLineChars="0"/>
              <w:rPr>
                <w:rFonts w:hint="eastAsia" w:ascii="仿宋_GB2312" w:hAnsi="Times New Roman" w:eastAsia="仿宋_GB2312" w:cs="Times New Roman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  <w:lang w:eastAsia="zh-CN"/>
              </w:rPr>
              <w:t>消防警示、警告标志不足，厨房无液化汽瓶专门存放间，仓库材料存放无分类存放，活动板房未能提供出厂合格证、检验检测报告。</w:t>
            </w:r>
          </w:p>
          <w:p>
            <w:pPr>
              <w:pStyle w:val="6"/>
              <w:ind w:firstLine="0" w:firstLineChars="0"/>
              <w:rPr>
                <w:rFonts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eastAsia="仿宋_GB2312"/>
                <w:b/>
              </w:rPr>
              <w:t>施工安全文明管理方面：</w:t>
            </w:r>
          </w:p>
          <w:p>
            <w:pPr>
              <w:pStyle w:val="6"/>
              <w:ind w:firstLine="0" w:firstLineChars="0"/>
              <w:rPr>
                <w:rFonts w:hint="eastAsia"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Times New Roman" w:eastAsia="仿宋_GB2312" w:cs="Times New Roman"/>
                <w:szCs w:val="24"/>
              </w:rPr>
              <w:t>建设单位项目负责人未按规定履行隐患整改的复查职责</w:t>
            </w:r>
            <w:r>
              <w:rPr>
                <w:rFonts w:hint="eastAsia" w:ascii="仿宋_GB2312" w:hAnsi="Times New Roman" w:eastAsia="仿宋_GB2312" w:cs="Times New Roman"/>
                <w:szCs w:val="24"/>
                <w:lang w:eastAsia="zh-CN"/>
              </w:rPr>
              <w:t>；</w:t>
            </w:r>
          </w:p>
          <w:p>
            <w:pPr>
              <w:pStyle w:val="6"/>
              <w:ind w:firstLine="0" w:firstLineChars="0"/>
              <w:rPr>
                <w:rFonts w:hint="eastAsia"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2</w:t>
            </w:r>
            <w:r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Times New Roman" w:eastAsia="仿宋_GB2312" w:cs="Times New Roman"/>
                <w:szCs w:val="24"/>
              </w:rPr>
              <w:t>部分方案监理单位审查手续不齐全，并且总监欠编制个别专项监理实施细则或者欠针对性</w:t>
            </w:r>
            <w:r>
              <w:rPr>
                <w:rFonts w:hint="eastAsia" w:ascii="仿宋_GB2312" w:hAnsi="Times New Roman" w:eastAsia="仿宋_GB2312" w:cs="Times New Roman"/>
                <w:szCs w:val="24"/>
                <w:lang w:eastAsia="zh-CN"/>
              </w:rPr>
              <w:t>；</w:t>
            </w:r>
          </w:p>
          <w:p>
            <w:pPr>
              <w:pStyle w:val="6"/>
              <w:ind w:firstLine="0" w:firstLineChars="0"/>
              <w:rPr>
                <w:rFonts w:hint="eastAsia" w:ascii="仿宋_GB2312" w:hAnsi="Times New Roman" w:eastAsia="仿宋_GB2312" w:cs="Times New Roman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3</w:t>
            </w:r>
            <w:r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Times New Roman" w:eastAsia="仿宋_GB2312" w:cs="Times New Roman"/>
                <w:szCs w:val="24"/>
              </w:rPr>
              <w:t>部分方案施工单位审批手续不齐全，项目经理没有带班记录，并且未定期审查电工巡查记录</w:t>
            </w:r>
            <w:r>
              <w:rPr>
                <w:rFonts w:hint="eastAsia" w:ascii="仿宋_GB2312" w:hAnsi="Times New Roman" w:eastAsia="仿宋_GB2312" w:cs="Times New Roman"/>
                <w:szCs w:val="24"/>
                <w:lang w:eastAsia="zh-CN"/>
              </w:rPr>
              <w:t>；</w:t>
            </w:r>
          </w:p>
          <w:p>
            <w:pPr>
              <w:pStyle w:val="6"/>
              <w:ind w:firstLine="0" w:firstLineChars="0"/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  <w:t>4.围墙围挡不连续、不平整，建筑材料堆放零乱、无标识，防尘降尘设施不到位，安全标志少。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汕头华侨经济文化合作试验区规划建设局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1" w:type="dxa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2</w:t>
            </w:r>
          </w:p>
        </w:tc>
        <w:tc>
          <w:tcPr>
            <w:tcW w:w="12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  <w:t>科技北二街与科技西路交界西南侧“三旧”改造项目（暂名）</w:t>
            </w:r>
          </w:p>
        </w:tc>
        <w:tc>
          <w:tcPr>
            <w:tcW w:w="12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  <w:t>汕头高新区德盺房地产开发有限公司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  <w:t>广东协华建安工程有限公司</w:t>
            </w:r>
          </w:p>
        </w:tc>
        <w:tc>
          <w:tcPr>
            <w:tcW w:w="12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  <w:t>汕头市城市建设监理公司</w:t>
            </w:r>
          </w:p>
        </w:tc>
        <w:tc>
          <w:tcPr>
            <w:tcW w:w="8070" w:type="dxa"/>
            <w:vAlign w:val="center"/>
          </w:tcPr>
          <w:p>
            <w:pPr>
              <w:spacing w:line="240" w:lineRule="auto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工程质量管理方面：</w:t>
            </w:r>
          </w:p>
          <w:p>
            <w:pPr>
              <w:spacing w:line="240" w:lineRule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  <w:t>1.地基基础分部欠办理验收手续；</w:t>
            </w:r>
          </w:p>
          <w:p>
            <w:pPr>
              <w:spacing w:line="240" w:lineRule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21"/>
                <w:szCs w:val="24"/>
                <w:lang w:val="en-US" w:eastAsia="zh-CN" w:bidi="ar-SA"/>
              </w:rPr>
              <w:t>2.</w:t>
            </w:r>
            <w:r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  <w:t>商品砂浆进货单欠10月份使用货单；</w:t>
            </w:r>
          </w:p>
          <w:p>
            <w:pPr>
              <w:spacing w:line="240" w:lineRule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21"/>
                <w:szCs w:val="24"/>
                <w:lang w:val="en-US" w:eastAsia="zh-CN" w:bidi="ar-SA"/>
              </w:rPr>
              <w:t>3.</w:t>
            </w:r>
            <w:r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  <w:t>墙体拉结筋欠抗拔试验；</w:t>
            </w:r>
          </w:p>
          <w:p>
            <w:pPr>
              <w:spacing w:line="240" w:lineRule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21"/>
                <w:szCs w:val="24"/>
                <w:lang w:val="en-US" w:eastAsia="zh-CN" w:bidi="ar-SA"/>
              </w:rPr>
              <w:t>4.</w:t>
            </w:r>
            <w:r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  <w:t>抗拔工程桩没有竖向抗压试验，未办理设计处理意见；</w:t>
            </w:r>
          </w:p>
          <w:p>
            <w:pPr>
              <w:spacing w:line="240" w:lineRule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21"/>
                <w:szCs w:val="24"/>
                <w:lang w:val="en-US" w:eastAsia="zh-CN" w:bidi="ar-SA"/>
              </w:rPr>
              <w:t>5.</w:t>
            </w:r>
            <w:r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  <w:t>旁站监理记录欠针对性。</w:t>
            </w:r>
          </w:p>
          <w:p>
            <w:pPr>
              <w:pStyle w:val="6"/>
              <w:ind w:firstLine="0" w:firstLineChars="0"/>
              <w:rPr>
                <w:rFonts w:hint="eastAsia" w:ascii="仿宋_GB2312" w:eastAsia="仿宋_GB2312"/>
                <w:b/>
                <w:lang w:eastAsia="zh-CN"/>
              </w:rPr>
            </w:pPr>
            <w:r>
              <w:rPr>
                <w:rFonts w:hint="eastAsia" w:ascii="仿宋_GB2312" w:eastAsia="仿宋_GB2312"/>
                <w:b/>
                <w:lang w:eastAsia="zh-CN"/>
              </w:rPr>
              <w:t>火灾防控方面：</w:t>
            </w:r>
          </w:p>
          <w:p>
            <w:pPr>
              <w:pStyle w:val="6"/>
              <w:ind w:firstLine="0" w:firstLineChars="0"/>
              <w:rPr>
                <w:rFonts w:hint="eastAsia" w:ascii="仿宋_GB2312" w:hAnsi="Times New Roman" w:eastAsia="仿宋_GB2312" w:cs="Times New Roman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  <w:lang w:eastAsia="zh-CN"/>
              </w:rPr>
              <w:t>使用塑料热得快煮开水，活动板房未能提供出厂合格证、检验检测报告。</w:t>
            </w:r>
          </w:p>
          <w:p>
            <w:pPr>
              <w:pStyle w:val="6"/>
              <w:ind w:firstLine="0" w:firstLineChars="0"/>
              <w:rPr>
                <w:rFonts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eastAsia="仿宋_GB2312"/>
                <w:b/>
              </w:rPr>
              <w:t>施工安全文明管理方面：</w:t>
            </w:r>
          </w:p>
          <w:p>
            <w:pPr>
              <w:pStyle w:val="6"/>
              <w:ind w:firstLine="0" w:firstLineChars="0"/>
              <w:rPr>
                <w:rFonts w:hint="eastAsia"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Times New Roman" w:eastAsia="仿宋_GB2312" w:cs="Times New Roman"/>
                <w:szCs w:val="24"/>
              </w:rPr>
              <w:t>建设单位项目负责人未按规定履行隐患整改的复查职责</w:t>
            </w:r>
            <w:r>
              <w:rPr>
                <w:rFonts w:hint="eastAsia" w:ascii="仿宋_GB2312" w:hAnsi="Times New Roman" w:eastAsia="仿宋_GB2312" w:cs="Times New Roman"/>
                <w:szCs w:val="24"/>
                <w:lang w:eastAsia="zh-CN"/>
              </w:rPr>
              <w:t>；</w:t>
            </w:r>
          </w:p>
          <w:p>
            <w:pPr>
              <w:pStyle w:val="6"/>
              <w:ind w:firstLine="0" w:firstLineChars="0"/>
              <w:rPr>
                <w:rFonts w:hint="eastAsia"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2</w:t>
            </w:r>
            <w:r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Times New Roman" w:eastAsia="仿宋_GB2312" w:cs="Times New Roman"/>
                <w:szCs w:val="24"/>
              </w:rPr>
              <w:t>部分方案监理单位审查手续不齐全，总监编制的个别专项监理实施细则欠针对性</w:t>
            </w:r>
            <w:r>
              <w:rPr>
                <w:rFonts w:hint="eastAsia" w:ascii="仿宋_GB2312" w:hAnsi="Times New Roman" w:eastAsia="仿宋_GB2312" w:cs="Times New Roman"/>
                <w:szCs w:val="24"/>
                <w:lang w:eastAsia="zh-CN"/>
              </w:rPr>
              <w:t>；</w:t>
            </w:r>
          </w:p>
          <w:p>
            <w:pPr>
              <w:pStyle w:val="6"/>
              <w:ind w:firstLine="0" w:firstLineChars="0"/>
              <w:rPr>
                <w:rFonts w:hint="eastAsia"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3</w:t>
            </w:r>
            <w:r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Times New Roman" w:eastAsia="仿宋_GB2312" w:cs="Times New Roman"/>
                <w:szCs w:val="24"/>
              </w:rPr>
              <w:t>一论证方案施工单位审批手续不齐全，并且项目经理未定期审查电工巡查记录</w:t>
            </w:r>
            <w:r>
              <w:rPr>
                <w:rFonts w:hint="eastAsia" w:ascii="仿宋_GB2312" w:hAnsi="Times New Roman" w:eastAsia="仿宋_GB2312" w:cs="Times New Roman"/>
                <w:szCs w:val="24"/>
                <w:lang w:eastAsia="zh-CN"/>
              </w:rPr>
              <w:t>；</w:t>
            </w:r>
          </w:p>
          <w:p>
            <w:pPr>
              <w:pStyle w:val="6"/>
              <w:ind w:firstLine="0" w:firstLineChars="0"/>
              <w:rPr>
                <w:rFonts w:hint="eastAsia" w:ascii="仿宋_GB2312" w:hAnsi="Times New Roman" w:eastAsia="仿宋_GB2312" w:cs="Times New Roman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4</w:t>
            </w:r>
            <w:r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Times New Roman" w:eastAsia="仿宋_GB2312" w:cs="Times New Roman"/>
                <w:szCs w:val="24"/>
              </w:rPr>
              <w:t>塔吊欠缺维保合同</w:t>
            </w:r>
            <w:r>
              <w:rPr>
                <w:rFonts w:hint="eastAsia" w:ascii="仿宋_GB2312" w:hAnsi="Times New Roman" w:eastAsia="仿宋_GB2312" w:cs="Times New Roman"/>
                <w:szCs w:val="24"/>
                <w:lang w:eastAsia="zh-CN"/>
              </w:rPr>
              <w:t>；</w:t>
            </w:r>
          </w:p>
          <w:p>
            <w:pPr>
              <w:pStyle w:val="6"/>
              <w:ind w:firstLine="0" w:firstLineChars="0"/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  <w:t>5.洗车槽不标准，材料堆放无标识；</w:t>
            </w:r>
          </w:p>
          <w:p>
            <w:pPr>
              <w:pStyle w:val="6"/>
              <w:ind w:firstLine="0" w:firstLineChars="0"/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  <w:t>6.楼层清理不及时、未做到工完场清，脚手架基础建筑垃圾无清理，安全标志少。</w:t>
            </w:r>
          </w:p>
        </w:tc>
        <w:tc>
          <w:tcPr>
            <w:tcW w:w="121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汕头高新技术开发区规划建设局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1" w:type="dxa"/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</w:rPr>
              <w:t>3</w:t>
            </w:r>
          </w:p>
        </w:tc>
        <w:tc>
          <w:tcPr>
            <w:tcW w:w="12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  <w:t>旧厂房“三旧”改造项目（盛州）</w:t>
            </w:r>
          </w:p>
        </w:tc>
        <w:tc>
          <w:tcPr>
            <w:tcW w:w="12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  <w:t>汕头市盛州房地产开发有限公司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  <w:t>广东中龙建设有限公司</w:t>
            </w:r>
          </w:p>
        </w:tc>
        <w:tc>
          <w:tcPr>
            <w:tcW w:w="12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  <w:t>深圳市建控地盘监理有限公司</w:t>
            </w:r>
          </w:p>
        </w:tc>
        <w:tc>
          <w:tcPr>
            <w:tcW w:w="8070" w:type="dxa"/>
            <w:vAlign w:val="center"/>
          </w:tcPr>
          <w:p>
            <w:pPr>
              <w:spacing w:line="240" w:lineRule="auto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工程质量管理方面：</w:t>
            </w:r>
          </w:p>
          <w:p>
            <w:pPr>
              <w:pStyle w:val="6"/>
              <w:ind w:firstLine="0" w:firstLineChars="0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  <w:t>1.基础围护桩欠检测方案，水泥搅拌桩的抽芯检测报告未收集；</w:t>
            </w:r>
          </w:p>
          <w:p>
            <w:pPr>
              <w:pStyle w:val="6"/>
              <w:ind w:firstLine="0" w:firstLineChars="0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  <w:t>2.工程桩检测报告包含珠江路40号和珠江南街1号二个项目，应分开出检测报告；</w:t>
            </w:r>
          </w:p>
          <w:p>
            <w:pPr>
              <w:pStyle w:val="6"/>
              <w:ind w:firstLine="0" w:firstLineChars="0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  <w:t>3.地基基础分部未办理验收手续；</w:t>
            </w:r>
          </w:p>
          <w:p>
            <w:pPr>
              <w:pStyle w:val="6"/>
              <w:ind w:firstLine="0" w:firstLineChars="0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  <w:t>4.监理单位旁站记录不全面，欠针对性；</w:t>
            </w:r>
          </w:p>
          <w:p>
            <w:pPr>
              <w:pStyle w:val="6"/>
              <w:ind w:firstLine="0" w:firstLineChars="0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  <w:t>5.墙体拉结筋欠抗拔试验。</w:t>
            </w:r>
          </w:p>
          <w:p>
            <w:pPr>
              <w:pStyle w:val="6"/>
              <w:ind w:firstLine="0" w:firstLineChars="0"/>
              <w:rPr>
                <w:rFonts w:hint="eastAsia" w:ascii="仿宋_GB2312" w:eastAsia="仿宋_GB2312"/>
                <w:b/>
                <w:lang w:eastAsia="zh-CN"/>
              </w:rPr>
            </w:pPr>
            <w:r>
              <w:rPr>
                <w:rFonts w:hint="eastAsia" w:ascii="仿宋_GB2312" w:eastAsia="仿宋_GB2312"/>
                <w:b/>
                <w:lang w:eastAsia="zh-CN"/>
              </w:rPr>
              <w:t>火灾防控方面：</w:t>
            </w:r>
          </w:p>
          <w:p>
            <w:pPr>
              <w:pStyle w:val="6"/>
              <w:ind w:firstLine="0" w:firstLineChars="0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  <w:t>消防设施不足，活动板房未能提供出厂合格证、检验检测报告。</w:t>
            </w:r>
          </w:p>
          <w:p>
            <w:pPr>
              <w:pStyle w:val="6"/>
              <w:ind w:firstLine="0" w:firstLineChars="0"/>
              <w:rPr>
                <w:rFonts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eastAsia="仿宋_GB2312"/>
                <w:b/>
              </w:rPr>
              <w:t>施工安全文明管理方面：</w:t>
            </w:r>
          </w:p>
          <w:p>
            <w:pPr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1.</w:t>
            </w:r>
            <w:r>
              <w:rPr>
                <w:rFonts w:hint="eastAsia" w:ascii="仿宋_GB2312" w:eastAsia="仿宋_GB2312"/>
              </w:rPr>
              <w:t>建设单位项目负责人未按规定履行隐患整改的复查职责</w:t>
            </w:r>
            <w:r>
              <w:rPr>
                <w:rFonts w:hint="eastAsia" w:ascii="仿宋_GB2312" w:eastAsia="仿宋_GB2312"/>
                <w:lang w:val="en-US" w:eastAsia="zh-CN"/>
              </w:rPr>
              <w:t>；</w:t>
            </w:r>
          </w:p>
          <w:p>
            <w:pPr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2</w:t>
            </w:r>
            <w:r>
              <w:rPr>
                <w:rFonts w:hint="eastAsia" w:ascii="仿宋_GB2312" w:eastAsia="仿宋_GB2312"/>
                <w:lang w:val="en-US" w:eastAsia="zh-CN"/>
              </w:rPr>
              <w:t>.</w:t>
            </w:r>
            <w:r>
              <w:rPr>
                <w:rFonts w:hint="eastAsia" w:ascii="仿宋_GB2312" w:eastAsia="仿宋_GB2312"/>
              </w:rPr>
              <w:t>监理单位未能认真开展对项目进行安全检查，并且总监编制的个别专项监理实施细则欠针对性</w:t>
            </w:r>
            <w:r>
              <w:rPr>
                <w:rFonts w:hint="eastAsia" w:ascii="仿宋_GB2312" w:eastAsia="仿宋_GB2312"/>
                <w:lang w:eastAsia="zh-CN"/>
              </w:rPr>
              <w:t>；</w:t>
            </w:r>
          </w:p>
          <w:p>
            <w:pPr>
              <w:spacing w:line="240" w:lineRule="auto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</w:rPr>
              <w:t>3</w:t>
            </w:r>
            <w:r>
              <w:rPr>
                <w:rFonts w:hint="eastAsia" w:ascii="仿宋_GB2312" w:eastAsia="仿宋_GB2312"/>
                <w:lang w:val="en-US" w:eastAsia="zh-CN"/>
              </w:rPr>
              <w:t>.</w:t>
            </w:r>
            <w:r>
              <w:rPr>
                <w:rFonts w:hint="eastAsia" w:ascii="仿宋_GB2312" w:eastAsia="仿宋_GB2312"/>
              </w:rPr>
              <w:t>施工单位未按期复查隐患整改，并且项目经理未定期审查电工巡查记录</w:t>
            </w:r>
            <w:r>
              <w:rPr>
                <w:rFonts w:hint="eastAsia" w:ascii="仿宋_GB2312" w:eastAsia="仿宋_GB2312"/>
                <w:lang w:eastAsia="zh-CN"/>
              </w:rPr>
              <w:t>；</w:t>
            </w:r>
          </w:p>
          <w:p>
            <w:pPr>
              <w:spacing w:line="240" w:lineRule="auto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4.建筑材料堆放零乱、无标识，楼层清理不及时、未做到工完场清，地下室外侧回填不及时，洗车槽不标准，防尘降尘设施不到位。</w:t>
            </w:r>
          </w:p>
        </w:tc>
        <w:tc>
          <w:tcPr>
            <w:tcW w:w="1215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龙湖</w:t>
            </w:r>
            <w:r>
              <w:rPr>
                <w:rFonts w:hint="eastAsia" w:ascii="仿宋_GB2312" w:hAnsi="宋体" w:eastAsia="仿宋_GB2312"/>
                <w:sz w:val="24"/>
              </w:rPr>
              <w:t>区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住房和城乡建设局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741" w:type="dxa"/>
            <w:vAlign w:val="center"/>
          </w:tcPr>
          <w:p>
            <w:pPr>
              <w:pStyle w:val="3"/>
              <w:spacing w:before="0" w:beforeAutospacing="0" w:after="0" w:afterAutospacing="0"/>
              <w:jc w:val="center"/>
              <w:rPr>
                <w:rFonts w:hAnsi="Times New Roman"/>
                <w:kern w:val="2"/>
                <w:sz w:val="21"/>
              </w:rPr>
            </w:pPr>
            <w:r>
              <w:rPr>
                <w:rFonts w:hint="eastAsia" w:hAnsi="Times New Roman"/>
                <w:kern w:val="2"/>
                <w:sz w:val="21"/>
              </w:rPr>
              <w:t>4</w:t>
            </w:r>
          </w:p>
        </w:tc>
        <w:tc>
          <w:tcPr>
            <w:tcW w:w="12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  <w:t>汕头市金平区东厦路100号片区一期（A1地块）“三旧”改造项目</w:t>
            </w:r>
          </w:p>
        </w:tc>
        <w:tc>
          <w:tcPr>
            <w:tcW w:w="12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  <w:t>汕头市深源金宸房地产有限公司、金平区东墩街道南墩经济联合社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  <w:t>汕头市南华建筑有限公司</w:t>
            </w:r>
          </w:p>
        </w:tc>
        <w:tc>
          <w:tcPr>
            <w:tcW w:w="12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  <w:t>珠海市城市建设监理有限公司</w:t>
            </w:r>
          </w:p>
        </w:tc>
        <w:tc>
          <w:tcPr>
            <w:tcW w:w="8070" w:type="dxa"/>
            <w:vAlign w:val="center"/>
          </w:tcPr>
          <w:p>
            <w:pPr>
              <w:spacing w:line="240" w:lineRule="auto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工程质量管理方面：</w:t>
            </w:r>
          </w:p>
          <w:p>
            <w:pPr>
              <w:pStyle w:val="6"/>
              <w:ind w:firstLine="0" w:firstLineChars="0"/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  <w:t>1.商品砂浆没有进场进货单和报验手续；</w:t>
            </w:r>
          </w:p>
          <w:p>
            <w:pPr>
              <w:pStyle w:val="6"/>
              <w:ind w:firstLine="0" w:firstLineChars="0"/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  <w:t>2.施工方案欠审批手续；</w:t>
            </w:r>
          </w:p>
          <w:p>
            <w:pPr>
              <w:pStyle w:val="6"/>
              <w:ind w:firstLine="0" w:firstLineChars="0"/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  <w:t>3.工程桩欠检测方案，基础 围护桩和地基基础分部未办理验收手续；</w:t>
            </w:r>
          </w:p>
          <w:p>
            <w:pPr>
              <w:pStyle w:val="6"/>
              <w:ind w:firstLine="0" w:firstLineChars="0"/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  <w:t>4.墙体拉结筋欠抗拔试验；</w:t>
            </w:r>
          </w:p>
          <w:p>
            <w:pPr>
              <w:pStyle w:val="6"/>
              <w:ind w:firstLine="0" w:firstLineChars="0"/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  <w:t>5.监理单位旁站记录不全面，欠针对性。</w:t>
            </w:r>
          </w:p>
          <w:p>
            <w:pPr>
              <w:pStyle w:val="6"/>
              <w:ind w:firstLine="0" w:firstLineChars="0"/>
              <w:rPr>
                <w:rFonts w:hint="eastAsia" w:ascii="仿宋_GB2312" w:eastAsia="仿宋_GB2312"/>
                <w:b/>
                <w:lang w:eastAsia="zh-CN"/>
              </w:rPr>
            </w:pPr>
            <w:r>
              <w:rPr>
                <w:rFonts w:hint="eastAsia" w:ascii="仿宋_GB2312" w:eastAsia="仿宋_GB2312"/>
                <w:b/>
                <w:lang w:eastAsia="zh-CN"/>
              </w:rPr>
              <w:t>火灾防控方面：</w:t>
            </w:r>
          </w:p>
          <w:p>
            <w:pPr>
              <w:spacing w:line="240" w:lineRule="auto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  <w:t>活动板房未能提供出厂合格证、检验检测报告，消防水箱偏少。</w:t>
            </w:r>
          </w:p>
          <w:p>
            <w:pPr>
              <w:spacing w:line="240" w:lineRule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/>
              </w:rPr>
              <w:t>施工安全文明管理方面：</w:t>
            </w:r>
          </w:p>
          <w:p>
            <w:pPr>
              <w:pStyle w:val="6"/>
              <w:ind w:firstLine="0" w:firstLineChars="0"/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  <w:t>1.建设单位项目负责人未按规定履行隐患整改的复查职责；</w:t>
            </w:r>
          </w:p>
          <w:p>
            <w:pPr>
              <w:pStyle w:val="6"/>
              <w:ind w:firstLine="0" w:firstLineChars="0"/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  <w:t>2.监理单位未能认真开展对项目进行安全检查，并且总监欠编制个别专项监理实施细则或者欠针对性；</w:t>
            </w:r>
          </w:p>
          <w:p>
            <w:pPr>
              <w:pStyle w:val="6"/>
              <w:ind w:firstLine="0" w:firstLineChars="0"/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  <w:t>3.施工单位对论证方案审批手续不齐全，近期也未对项目进行安全检查，并且项目经理未定期审查电工巡查记录；</w:t>
            </w:r>
          </w:p>
          <w:p>
            <w:pPr>
              <w:pStyle w:val="6"/>
              <w:ind w:firstLine="0" w:firstLineChars="0"/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  <w:t>4.施工升降机在最后一道附墙上方设置出入口；</w:t>
            </w:r>
          </w:p>
          <w:p>
            <w:pPr>
              <w:pStyle w:val="6"/>
              <w:ind w:firstLine="0" w:firstLineChars="0"/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  <w:t>5.场地积水、排水不畅通，楼层建筑垃圾未及时清理、未做到工完场清，脚手架基础建筑垃圾无清理。</w:t>
            </w:r>
          </w:p>
        </w:tc>
        <w:tc>
          <w:tcPr>
            <w:tcW w:w="1215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金平区住房和城乡建设局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  <w:jc w:val="center"/>
        </w:trPr>
        <w:tc>
          <w:tcPr>
            <w:tcW w:w="741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</w:t>
            </w:r>
          </w:p>
        </w:tc>
        <w:tc>
          <w:tcPr>
            <w:tcW w:w="12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  <w:t>中海信（汕头）创新产业城项目C1地块（产C1-01~产C1-09）</w:t>
            </w:r>
          </w:p>
        </w:tc>
        <w:tc>
          <w:tcPr>
            <w:tcW w:w="12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  <w:t>汕头市中海信创新产业运营有限公司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  <w:t>广东豪江建设有限公司</w:t>
            </w:r>
          </w:p>
        </w:tc>
        <w:tc>
          <w:tcPr>
            <w:tcW w:w="12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  <w:t>洛阳石化工程建设集团有限责任公司</w:t>
            </w:r>
          </w:p>
        </w:tc>
        <w:tc>
          <w:tcPr>
            <w:tcW w:w="8070" w:type="dxa"/>
            <w:vAlign w:val="center"/>
          </w:tcPr>
          <w:p>
            <w:pPr>
              <w:spacing w:line="240" w:lineRule="auto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工程质量管理方面：</w:t>
            </w:r>
          </w:p>
          <w:p>
            <w:pPr>
              <w:spacing w:line="240" w:lineRule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  <w:t>1.桩基检测方案欠建设单位、勘察单位签名盖章；</w:t>
            </w:r>
          </w:p>
          <w:p>
            <w:pPr>
              <w:spacing w:line="240" w:lineRule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  <w:t>2.电线、电缆送检规格不足，应各不少于2个规格。</w:t>
            </w:r>
          </w:p>
          <w:p>
            <w:pPr>
              <w:pStyle w:val="6"/>
              <w:ind w:firstLine="0" w:firstLineChars="0"/>
              <w:rPr>
                <w:rFonts w:hint="eastAsia" w:ascii="仿宋_GB2312" w:eastAsia="仿宋_GB2312"/>
                <w:b/>
                <w:lang w:eastAsia="zh-CN"/>
              </w:rPr>
            </w:pPr>
            <w:r>
              <w:rPr>
                <w:rFonts w:hint="eastAsia" w:ascii="仿宋_GB2312" w:eastAsia="仿宋_GB2312"/>
                <w:b/>
                <w:lang w:eastAsia="zh-CN"/>
              </w:rPr>
              <w:t>火灾防控方面：</w:t>
            </w:r>
          </w:p>
          <w:p>
            <w:pPr>
              <w:pStyle w:val="6"/>
              <w:ind w:firstLine="0" w:firstLineChars="0"/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  <w:t>活动板房未能提供出厂合格证、检验检测报告。</w:t>
            </w:r>
          </w:p>
          <w:p>
            <w:pPr>
              <w:pStyle w:val="6"/>
              <w:ind w:firstLine="0" w:firstLineChars="0"/>
              <w:rPr>
                <w:rFonts w:ascii="仿宋_GB2312" w:hAnsi="Times New Roman" w:eastAsia="仿宋_GB2312" w:cs="Times New Roman"/>
                <w:szCs w:val="24"/>
              </w:rPr>
            </w:pPr>
            <w:r>
              <w:rPr>
                <w:rFonts w:hint="eastAsia" w:ascii="仿宋_GB2312" w:eastAsia="仿宋_GB2312"/>
                <w:b/>
              </w:rPr>
              <w:t>施工安全文明管理方面：</w:t>
            </w:r>
          </w:p>
          <w:p>
            <w:pPr>
              <w:pStyle w:val="6"/>
              <w:ind w:firstLine="0" w:firstLineChars="0"/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  <w:t>1.建设单位项目负责人未按规定履行隐患整改的复查职责。未按规定任命项目安全管理机构；</w:t>
            </w:r>
          </w:p>
          <w:p>
            <w:pPr>
              <w:pStyle w:val="6"/>
              <w:ind w:firstLine="0" w:firstLineChars="0"/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  <w:t>2.监理单位未能认真开展对项目进行安全检查，并且总监欠编制个别专项监理实施细则或者欠针对性；</w:t>
            </w:r>
          </w:p>
          <w:p>
            <w:pPr>
              <w:pStyle w:val="6"/>
              <w:ind w:firstLine="0" w:firstLineChars="0"/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  <w:t>3.施工单位未按规定任命项目安全管理机构，对项目的安全检查也存在流于形式，并且项目经理未定期审查电工巡查记录；</w:t>
            </w:r>
          </w:p>
          <w:p>
            <w:pPr>
              <w:pStyle w:val="6"/>
              <w:ind w:firstLine="0" w:firstLineChars="0"/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Cs w:val="24"/>
                <w:lang w:val="en-US" w:eastAsia="zh-CN"/>
              </w:rPr>
              <w:t>4.围墙围挡不连续、部分未设置，场地上堆放生活垃圾无清理。</w:t>
            </w:r>
          </w:p>
        </w:tc>
        <w:tc>
          <w:tcPr>
            <w:tcW w:w="121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濠江区城市建设和环境保护局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</w:pPr>
    </w:p>
    <w:p>
      <w:pPr>
        <w:jc w:val="left"/>
        <w:rPr>
          <w:rFonts w:hint="eastAsia" w:ascii="仿宋_GB2312" w:eastAsia="仿宋_GB2312"/>
          <w:sz w:val="32"/>
          <w:szCs w:val="32"/>
        </w:rPr>
      </w:pPr>
    </w:p>
    <w:p>
      <w:pPr>
        <w:jc w:val="left"/>
        <w:rPr>
          <w:rFonts w:hint="eastAsia" w:ascii="仿宋_GB2312" w:eastAsia="仿宋_GB2312"/>
          <w:sz w:val="32"/>
          <w:szCs w:val="32"/>
        </w:rPr>
      </w:pPr>
    </w:p>
    <w:p>
      <w:pPr>
        <w:jc w:val="left"/>
        <w:rPr>
          <w:rFonts w:hint="eastAsia"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CB569F"/>
    <w:rsid w:val="24CB5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uiPriority w:val="99"/>
    <w:pPr>
      <w:widowControl/>
      <w:spacing w:before="100" w:beforeAutospacing="1" w:after="100" w:afterAutospacing="1" w:line="240" w:lineRule="auto"/>
      <w:jc w:val="left"/>
    </w:pPr>
    <w:rPr>
      <w:rFonts w:ascii="仿宋_GB2312" w:hAnsi="宋体" w:eastAsia="仿宋_GB2312"/>
      <w:kern w:val="0"/>
      <w:sz w:val="32"/>
    </w:rPr>
  </w:style>
  <w:style w:type="paragraph" w:customStyle="1" w:styleId="6">
    <w:name w:val="列出段落1"/>
    <w:basedOn w:val="1"/>
    <w:qFormat/>
    <w:uiPriority w:val="34"/>
    <w:pPr>
      <w:spacing w:line="240" w:lineRule="auto"/>
      <w:ind w:firstLine="420" w:firstLineChars="200"/>
    </w:pPr>
    <w:rPr>
      <w:rFonts w:ascii="Calibri" w:hAnsi="Calibri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2019-01-24T09:48:00Z</dcterms:created>
  <dc:creator>半点</dc:creator>
  <cp:lastModifiedBy>半点</cp:lastModifiedBy>
  <dcterms:modified xsi:type="dcterms:W3CDTF">2019-01-24T09:48:22Z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