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公文小标宋简" w:hAnsi="公文小标宋简" w:eastAsia="公文小标宋简" w:cs="公文小标宋简"/>
          <w:b w:val="0"/>
          <w:bCs w:val="0"/>
          <w:sz w:val="44"/>
          <w:szCs w:val="44"/>
        </w:rPr>
      </w:pPr>
      <w:r>
        <w:rPr>
          <w:rFonts w:hint="eastAsia" w:ascii="公文小标宋简" w:hAnsi="公文小标宋简" w:eastAsia="公文小标宋简" w:cs="公文小标宋简"/>
          <w:b w:val="0"/>
          <w:bCs w:val="0"/>
          <w:sz w:val="44"/>
          <w:szCs w:val="44"/>
        </w:rPr>
        <w:t>全市住建系统2018年今冬明春火灾</w:t>
      </w:r>
    </w:p>
    <w:p>
      <w:pPr>
        <w:spacing w:line="560" w:lineRule="exact"/>
        <w:jc w:val="center"/>
        <w:rPr>
          <w:rFonts w:hint="eastAsia" w:ascii="公文小标宋简" w:hAnsi="公文小标宋简" w:eastAsia="公文小标宋简" w:cs="公文小标宋简"/>
          <w:b w:val="0"/>
          <w:bCs w:val="0"/>
          <w:sz w:val="44"/>
          <w:szCs w:val="44"/>
        </w:rPr>
      </w:pPr>
      <w:r>
        <w:rPr>
          <w:rFonts w:hint="eastAsia" w:ascii="公文小标宋简" w:hAnsi="公文小标宋简" w:eastAsia="公文小标宋简" w:cs="公文小标宋简"/>
          <w:b w:val="0"/>
          <w:bCs w:val="0"/>
          <w:sz w:val="44"/>
          <w:szCs w:val="44"/>
        </w:rPr>
        <w:t>防控工作方案</w:t>
      </w:r>
    </w:p>
    <w:p>
      <w:pPr>
        <w:rPr>
          <w:rFonts w:hint="eastAsia" w:ascii="公文小标宋简" w:hAnsi="公文小标宋简" w:eastAsia="公文小标宋简" w:cs="公文小标宋简"/>
        </w:rPr>
      </w:pPr>
    </w:p>
    <w:p>
      <w:pPr>
        <w:ind w:firstLine="640" w:firstLineChars="200"/>
        <w:rPr>
          <w:rFonts w:ascii="仿宋_GB2312" w:hAnsi="仿宋_GB2312" w:cs="仿宋_GB2312"/>
          <w:szCs w:val="32"/>
        </w:rPr>
      </w:pPr>
      <w:r>
        <w:rPr>
          <w:rFonts w:hint="eastAsia" w:ascii="仿宋_GB2312" w:hAnsi="仿宋_GB2312" w:cs="仿宋_GB2312"/>
          <w:szCs w:val="32"/>
        </w:rPr>
        <w:t>为切实加强今冬明春火灾防控工作，有效预防全市房屋市政工程施工、燃气、电气火灾的发生，根据《关于做好2018年今冬明春火灾防控信息报送工作的通知》（汕安委办</w:t>
      </w:r>
      <w:r>
        <w:rPr>
          <w:rFonts w:hint="eastAsia" w:ascii="仿宋_GB2312" w:hAnsi="仿宋_GB2312" w:cs="仿宋_GB2312"/>
          <w:szCs w:val="32"/>
          <w:lang w:eastAsia="zh-CN"/>
        </w:rPr>
        <w:t>〔</w:t>
      </w:r>
      <w:r>
        <w:rPr>
          <w:rFonts w:hint="eastAsia" w:ascii="仿宋_GB2312" w:hAnsi="仿宋_GB2312" w:cs="仿宋_GB2312"/>
          <w:szCs w:val="32"/>
        </w:rPr>
        <w:t>2018</w:t>
      </w:r>
      <w:r>
        <w:rPr>
          <w:rFonts w:hint="eastAsia" w:ascii="仿宋_GB2312" w:hAnsi="仿宋_GB2312" w:cs="仿宋_GB2312"/>
          <w:szCs w:val="32"/>
          <w:lang w:eastAsia="zh-CN"/>
        </w:rPr>
        <w:t>〕</w:t>
      </w:r>
      <w:r>
        <w:rPr>
          <w:rFonts w:hint="eastAsia" w:ascii="仿宋_GB2312" w:hAnsi="仿宋_GB2312" w:cs="仿宋_GB2312"/>
          <w:szCs w:val="32"/>
        </w:rPr>
        <w:t>124号）和《广东省住房和城乡建设厅关于印发全省住房城乡建设系统2018年今冬明春火灾防控工作方案的通知》（粤建质</w:t>
      </w:r>
      <w:r>
        <w:rPr>
          <w:rFonts w:hint="eastAsia" w:ascii="仿宋_GB2312" w:hAnsi="仿宋_GB2312" w:cs="仿宋_GB2312"/>
          <w:szCs w:val="32"/>
          <w:lang w:eastAsia="zh-CN"/>
        </w:rPr>
        <w:t>〔</w:t>
      </w:r>
      <w:r>
        <w:rPr>
          <w:rFonts w:hint="eastAsia" w:ascii="仿宋_GB2312" w:hAnsi="仿宋_GB2312" w:cs="仿宋_GB2312"/>
          <w:szCs w:val="32"/>
        </w:rPr>
        <w:t>2018</w:t>
      </w:r>
      <w:r>
        <w:rPr>
          <w:rFonts w:hint="eastAsia" w:ascii="仿宋_GB2312" w:hAnsi="仿宋_GB2312" w:cs="仿宋_GB2312"/>
          <w:szCs w:val="32"/>
          <w:lang w:eastAsia="zh-CN"/>
        </w:rPr>
        <w:t>〕</w:t>
      </w:r>
      <w:r>
        <w:rPr>
          <w:rFonts w:hint="eastAsia" w:ascii="仿宋_GB2312" w:hAnsi="仿宋_GB2312" w:cs="仿宋_GB2312"/>
          <w:szCs w:val="32"/>
        </w:rPr>
        <w:t>237号）的部署要求，结合全市住建系统实际，制定本方案。</w:t>
      </w:r>
    </w:p>
    <w:p>
      <w:pPr>
        <w:ind w:firstLine="640" w:firstLineChars="200"/>
        <w:rPr>
          <w:rFonts w:ascii="黑体" w:hAnsi="黑体" w:eastAsia="黑体" w:cs="黑体"/>
          <w:szCs w:val="32"/>
        </w:rPr>
      </w:pPr>
      <w:r>
        <w:rPr>
          <w:rFonts w:hint="eastAsia" w:ascii="黑体" w:hAnsi="黑体" w:eastAsia="黑体" w:cs="黑体"/>
          <w:szCs w:val="32"/>
        </w:rPr>
        <w:t>一、工作目标</w:t>
      </w:r>
    </w:p>
    <w:p>
      <w:pPr>
        <w:ind w:firstLine="640" w:firstLineChars="200"/>
        <w:rPr>
          <w:rFonts w:ascii="仿宋_GB2312" w:hAnsi="仿宋_GB2312" w:cs="仿宋_GB2312"/>
          <w:szCs w:val="32"/>
        </w:rPr>
      </w:pPr>
      <w:r>
        <w:rPr>
          <w:rFonts w:hint="eastAsia" w:ascii="仿宋_GB2312" w:hAnsi="仿宋_GB2312" w:cs="仿宋_GB2312"/>
          <w:szCs w:val="32"/>
        </w:rPr>
        <w:t>认真贯彻落实习近平总书记关于安全生产和消防安全的一系列重要批示指示精神，集中组织开展2018年今冬明春火灾防控工作，全面排查、及时化解房屋市政工程施工、燃气管理、电气火灾等存在的消防安全风险，消除安全隐患，重点加强建筑施工现场监管，严查使用易燃可燃保温材料、违规留宿人员、违规动火动焊等行为，有效预防火灾事故的发生，坚决守住“不发生大火”这一底线，确保人民群众生命财产安全和社会稳定。</w:t>
      </w:r>
    </w:p>
    <w:p>
      <w:pPr>
        <w:ind w:firstLine="640" w:firstLineChars="200"/>
        <w:rPr>
          <w:rFonts w:ascii="黑体" w:hAnsi="黑体" w:eastAsia="黑体" w:cs="黑体"/>
          <w:szCs w:val="32"/>
        </w:rPr>
      </w:pPr>
      <w:r>
        <w:rPr>
          <w:rFonts w:hint="eastAsia" w:ascii="黑体" w:hAnsi="黑体" w:eastAsia="黑体" w:cs="黑体"/>
          <w:szCs w:val="32"/>
        </w:rPr>
        <w:t>二、工作时间</w:t>
      </w:r>
    </w:p>
    <w:p>
      <w:pPr>
        <w:ind w:firstLine="640" w:firstLineChars="200"/>
        <w:rPr>
          <w:rFonts w:ascii="仿宋_GB2312" w:hAnsi="仿宋_GB2312" w:cs="仿宋_GB2312"/>
          <w:szCs w:val="32"/>
        </w:rPr>
      </w:pPr>
      <w:r>
        <w:rPr>
          <w:rFonts w:hint="eastAsia" w:ascii="仿宋_GB2312" w:hAnsi="仿宋_GB2312" w:cs="仿宋_GB2312"/>
          <w:szCs w:val="32"/>
        </w:rPr>
        <w:t>从发文之日起至2019年全国“两会”结束。</w:t>
      </w:r>
    </w:p>
    <w:p>
      <w:pPr>
        <w:ind w:firstLine="640" w:firstLineChars="200"/>
        <w:rPr>
          <w:rFonts w:ascii="黑体" w:hAnsi="黑体" w:eastAsia="黑体" w:cs="黑体"/>
          <w:szCs w:val="32"/>
        </w:rPr>
      </w:pPr>
      <w:r>
        <w:rPr>
          <w:rFonts w:hint="eastAsia" w:ascii="黑体" w:hAnsi="黑体" w:eastAsia="黑体" w:cs="黑体"/>
          <w:szCs w:val="32"/>
        </w:rPr>
        <w:t>三、组织领导</w:t>
      </w:r>
    </w:p>
    <w:p>
      <w:pPr>
        <w:ind w:firstLine="640" w:firstLineChars="200"/>
        <w:rPr>
          <w:rFonts w:ascii="仿宋_GB2312" w:hAnsi="仿宋_GB2312" w:cs="仿宋_GB2312"/>
          <w:szCs w:val="32"/>
        </w:rPr>
      </w:pPr>
      <w:r>
        <w:rPr>
          <w:rFonts w:hint="eastAsia" w:ascii="仿宋_GB2312" w:hAnsi="仿宋_GB2312" w:cs="仿宋_GB2312"/>
          <w:szCs w:val="32"/>
        </w:rPr>
        <w:t>成立由柯延鹏局长任组长，分管领导任副组长，燃气管理科、工程质量与安全监管科主要负责人为成员的火灾防控工作领导小组。</w:t>
      </w:r>
    </w:p>
    <w:p>
      <w:pPr>
        <w:ind w:firstLine="640" w:firstLineChars="200"/>
        <w:rPr>
          <w:rFonts w:ascii="仿宋_GB2312" w:hAnsi="仿宋_GB2312" w:cs="仿宋_GB2312"/>
          <w:szCs w:val="32"/>
        </w:rPr>
      </w:pPr>
      <w:r>
        <w:rPr>
          <w:rFonts w:hint="eastAsia" w:ascii="仿宋_GB2312" w:hAnsi="仿宋_GB2312"/>
          <w:szCs w:val="32"/>
        </w:rPr>
        <w:t>各区县、高新区、保税区、海湾新区住房城乡建设主管部门,市质监站、市安监总站，</w:t>
      </w:r>
      <w:r>
        <w:rPr>
          <w:rFonts w:hint="eastAsia" w:ascii="仿宋_GB2312" w:hAnsi="仿宋_GB2312" w:cs="仿宋_GB2312"/>
          <w:szCs w:val="32"/>
        </w:rPr>
        <w:t>要高度重视，结合当地人民政府、安全生产委员会的相关工作部署，成立由部门主要负责同志为组长的火灾防控领导小组，制定本地区住房城乡建设系统火灾防控实施方案，切实加强组织领导，加强宣传教育，确保将开展火灾防控的工作目标、工作任务等要求，全面、及时地传达到每个建筑施工、工程监理、燃气等相关企业和在建的房屋市政工程项目，督促和指导各有关单位扎实开展火灾防控工作。</w:t>
      </w:r>
    </w:p>
    <w:p>
      <w:pPr>
        <w:ind w:firstLine="640" w:firstLineChars="200"/>
        <w:rPr>
          <w:rFonts w:ascii="黑体" w:hAnsi="黑体" w:eastAsia="黑体" w:cs="黑体"/>
          <w:szCs w:val="32"/>
        </w:rPr>
      </w:pPr>
      <w:r>
        <w:rPr>
          <w:rFonts w:hint="eastAsia" w:ascii="黑体" w:hAnsi="黑体" w:eastAsia="黑体" w:cs="黑体"/>
          <w:szCs w:val="32"/>
        </w:rPr>
        <w:t>四、工作任务</w:t>
      </w:r>
    </w:p>
    <w:p>
      <w:pPr>
        <w:ind w:firstLine="643" w:firstLineChars="200"/>
        <w:rPr>
          <w:rFonts w:ascii="仿宋_GB2312" w:hAnsi="仿宋_GB2312" w:cs="仿宋_GB2312"/>
          <w:szCs w:val="32"/>
        </w:rPr>
      </w:pPr>
      <w:r>
        <w:rPr>
          <w:rFonts w:hint="eastAsia" w:ascii="楷体_GB2312" w:hAnsi="楷体_GB2312" w:eastAsia="楷体_GB2312" w:cs="楷体_GB2312"/>
          <w:b/>
          <w:bCs/>
          <w:szCs w:val="32"/>
        </w:rPr>
        <w:t>（一）切实落实火灾防控各阶段工作部署。</w:t>
      </w:r>
      <w:r>
        <w:rPr>
          <w:rFonts w:hint="eastAsia" w:ascii="仿宋_GB2312" w:hAnsi="仿宋_GB2312" w:cs="仿宋_GB2312"/>
          <w:szCs w:val="32"/>
        </w:rPr>
        <w:t>全市住房城乡建设系统要分阶段部署开展相关工作。第一阶段是从我局转发《广东省住房和城乡建设厅关于印发全省住房城乡建设系统2018年今冬明春火灾防控工作方案的通知》之日起至2018年12月31日，建筑施工、工程监理、燃气等相关企业必须在12月10日前完成对房屋市政工程、燃气站点、电气火灾等消防状况的自查自纠，对自查发现的问题建立清单，并将这次自查自纠情况报送工程所属区县住房城乡建设主管部门，市直施工项目报</w:t>
      </w:r>
      <w:r>
        <w:rPr>
          <w:rFonts w:hint="eastAsia" w:ascii="仿宋_GB2312" w:hAnsi="仿宋_GB2312"/>
          <w:szCs w:val="32"/>
        </w:rPr>
        <w:t>市质监站、市安监总站</w:t>
      </w:r>
      <w:r>
        <w:rPr>
          <w:rFonts w:hint="eastAsia" w:ascii="仿宋_GB2312" w:hAnsi="仿宋_GB2312" w:cs="仿宋_GB2312"/>
          <w:szCs w:val="32"/>
        </w:rPr>
        <w:t>。</w:t>
      </w:r>
      <w:r>
        <w:rPr>
          <w:rFonts w:hint="eastAsia" w:ascii="仿宋_GB2312" w:hAnsi="仿宋_GB2312"/>
          <w:szCs w:val="32"/>
        </w:rPr>
        <w:t>各区县、高新区、保税区、海湾新区住房城乡建设主管部门, 市质监站、市安监总站</w:t>
      </w:r>
      <w:r>
        <w:rPr>
          <w:rFonts w:hint="eastAsia" w:ascii="仿宋_GB2312" w:hAnsi="仿宋_GB2312" w:cs="仿宋_GB2312"/>
          <w:szCs w:val="32"/>
        </w:rPr>
        <w:t>要将建筑施工现场监管整体融入工程质量监督体系，在2018年12月31日前，结合业务工作检查，同步开展今冬明春火灾防控工作的检查。第二阶段从2019年1月1日至2019年全国“两会”结束，</w:t>
      </w:r>
      <w:r>
        <w:rPr>
          <w:rFonts w:hint="eastAsia" w:ascii="仿宋_GB2312" w:hAnsi="仿宋_GB2312"/>
          <w:szCs w:val="32"/>
        </w:rPr>
        <w:t>各区县、高新区、保税区、海湾新区住房城乡建设主管部门, 市质监站、市安监总站</w:t>
      </w:r>
      <w:r>
        <w:rPr>
          <w:rFonts w:hint="eastAsia" w:ascii="仿宋_GB2312" w:hAnsi="仿宋_GB2312" w:cs="仿宋_GB2312"/>
          <w:szCs w:val="32"/>
        </w:rPr>
        <w:t>要根据中央和省委、省政府、市委、市政府关于加强安全生产的相关工作部署，结合第一阶段检查发现的消防管理方面存在问题和隐患，以及春节前后停产复工的特点，再次组织开展对房屋市政工程、燃气站点、电气火灾等存在的消防隐患进行“回头查”，对排查出的隐患责令其限期整改而未整改的，严格责任追究，既要查原因，也要查责任、查教训，通过严惩责任单位和责任人，达到处理一起、警示一片、规范一方的效果。期间，市局将视情对部分重点地区进行督查。</w:t>
      </w:r>
    </w:p>
    <w:p>
      <w:pPr>
        <w:ind w:firstLine="643" w:firstLineChars="200"/>
        <w:rPr>
          <w:rFonts w:ascii="仿宋_GB2312" w:hAnsi="仿宋_GB2312" w:cs="仿宋_GB2312"/>
          <w:szCs w:val="32"/>
        </w:rPr>
      </w:pPr>
      <w:r>
        <w:rPr>
          <w:rFonts w:hint="eastAsia" w:ascii="楷体_GB2312" w:hAnsi="楷体_GB2312" w:eastAsia="楷体_GB2312" w:cs="楷体_GB2312"/>
          <w:b/>
          <w:bCs/>
          <w:szCs w:val="32"/>
        </w:rPr>
        <w:t>（二）扎实开展火灾隐患排查整改。</w:t>
      </w:r>
      <w:r>
        <w:rPr>
          <w:rFonts w:hint="eastAsia" w:ascii="仿宋_GB2312" w:hAnsi="仿宋_GB2312"/>
          <w:szCs w:val="32"/>
        </w:rPr>
        <w:t>各区县、高新区、保税区、海湾新区住房城乡建设主管部门, 市质监站、市安监总站</w:t>
      </w:r>
      <w:r>
        <w:rPr>
          <w:rFonts w:hint="eastAsia" w:ascii="仿宋_GB2312" w:hAnsi="仿宋_GB2312" w:cs="仿宋_GB2312"/>
          <w:szCs w:val="32"/>
        </w:rPr>
        <w:t>开展排查工作要突出重点，深入检查所监管的工程、燃气站点等的消防管理状况，督促和指导建筑施工、工程监理、燃气等有关企业认真贯彻房屋市政工程施工消防、燃气安全管理的有关法律、法规、技术规范和标准的要求，健全消防管理制度，落实消防安全措施，特别是要加强建筑施工现场监管，严查使用易燃可燃保温材料、违规留宿人员、违规动火动焊等行为（检查重点详见附件）。</w:t>
      </w:r>
    </w:p>
    <w:p>
      <w:pPr>
        <w:ind w:firstLine="643" w:firstLineChars="200"/>
        <w:rPr>
          <w:rFonts w:ascii="仿宋_GB2312" w:hAnsi="仿宋_GB2312" w:cs="仿宋_GB2312"/>
          <w:szCs w:val="32"/>
        </w:rPr>
      </w:pPr>
      <w:r>
        <w:rPr>
          <w:rFonts w:hint="eastAsia" w:ascii="楷体_GB2312" w:hAnsi="楷体_GB2312" w:eastAsia="楷体_GB2312" w:cs="楷体_GB2312"/>
          <w:b/>
          <w:bCs/>
          <w:szCs w:val="32"/>
        </w:rPr>
        <w:t>（三）切实加强消防安全宣传教育培训。</w:t>
      </w:r>
      <w:r>
        <w:rPr>
          <w:rFonts w:hint="eastAsia" w:ascii="仿宋_GB2312" w:hAnsi="仿宋_GB2312"/>
          <w:szCs w:val="32"/>
        </w:rPr>
        <w:t>各区县、高新区、保税区、海湾新区住房城乡建设主管部门, 市质监站、市安监总站</w:t>
      </w:r>
      <w:r>
        <w:rPr>
          <w:rFonts w:hint="eastAsia" w:ascii="仿宋_GB2312" w:hAnsi="仿宋_GB2312" w:cs="仿宋_GB2312"/>
          <w:szCs w:val="32"/>
        </w:rPr>
        <w:t>要督促和指导建筑施工、工程监理、燃气等有关企业加强对作业人员，特别是春节期间建筑施工现场留守人员以及春节后新聘人员的用火、用电等消防安全宣传教育培训，加强安全提示，有针对性地强化灭火技能、逃生、自救、互救等消防常识，不断提高作业人员的火灾自防自救能力和应急处置能力，有效预防因人的不安全行为而导致消防安全突发事件的发生。</w:t>
      </w:r>
    </w:p>
    <w:p>
      <w:pPr>
        <w:ind w:firstLine="640" w:firstLineChars="200"/>
        <w:rPr>
          <w:rFonts w:ascii="黑体" w:hAnsi="黑体" w:eastAsia="黑体" w:cs="黑体"/>
          <w:szCs w:val="32"/>
        </w:rPr>
      </w:pPr>
      <w:r>
        <w:rPr>
          <w:rFonts w:hint="eastAsia" w:ascii="黑体" w:hAnsi="黑体" w:eastAsia="黑体" w:cs="黑体"/>
          <w:szCs w:val="32"/>
        </w:rPr>
        <w:t>五、有关要求</w:t>
      </w:r>
    </w:p>
    <w:p>
      <w:pPr>
        <w:ind w:firstLine="643" w:firstLineChars="200"/>
        <w:rPr>
          <w:rFonts w:ascii="仿宋_GB2312" w:hAnsi="仿宋_GB2312" w:cs="仿宋_GB2312"/>
          <w:szCs w:val="32"/>
        </w:rPr>
      </w:pPr>
      <w:r>
        <w:rPr>
          <w:rFonts w:hint="eastAsia" w:ascii="楷体_GB2312" w:hAnsi="楷体_GB2312" w:eastAsia="楷体_GB2312" w:cs="楷体_GB2312"/>
          <w:b/>
          <w:bCs/>
          <w:szCs w:val="32"/>
        </w:rPr>
        <w:t>（一）加强督促检查，强化监管协作。</w:t>
      </w:r>
      <w:r>
        <w:rPr>
          <w:rFonts w:hint="eastAsia" w:ascii="仿宋_GB2312" w:hAnsi="仿宋_GB2312"/>
          <w:szCs w:val="32"/>
        </w:rPr>
        <w:t>各区县、高新区、保税区、海湾新区住房城乡建设主管部门, 市质监站、市安监总站</w:t>
      </w:r>
      <w:r>
        <w:rPr>
          <w:rFonts w:hint="eastAsia" w:ascii="仿宋_GB2312" w:hAnsi="仿宋_GB2312" w:cs="仿宋_GB2312"/>
          <w:szCs w:val="32"/>
        </w:rPr>
        <w:t>要结合当地政府的工作部署以及我局印发的关于加强安全生产工作的通知要求，深化消防安全治理，督促建筑施工、工程监理、燃气等有关企业开展消防安全的自查自纠。积极配合当地政府开展今冬明春火灾防控的检查工作。加强信息共享和部门协同，确保辖区内住房城乡建设系统火灾防控措施落到实处，确保防控工作做到全面覆盖，不留死角。</w:t>
      </w:r>
    </w:p>
    <w:p>
      <w:pPr>
        <w:ind w:firstLine="643" w:firstLineChars="200"/>
        <w:rPr>
          <w:rFonts w:ascii="仿宋_GB2312" w:hAnsi="仿宋_GB2312" w:cs="仿宋_GB2312"/>
          <w:szCs w:val="32"/>
        </w:rPr>
      </w:pPr>
      <w:r>
        <w:rPr>
          <w:rFonts w:hint="eastAsia" w:ascii="楷体_GB2312" w:hAnsi="楷体_GB2312" w:eastAsia="楷体_GB2312" w:cs="楷体_GB2312"/>
          <w:b/>
          <w:bCs/>
          <w:szCs w:val="32"/>
        </w:rPr>
        <w:t>（二）严格执法执纪，形成有力震慑。</w:t>
      </w:r>
      <w:r>
        <w:rPr>
          <w:rFonts w:hint="eastAsia" w:ascii="仿宋_GB2312" w:hAnsi="仿宋_GB2312"/>
          <w:szCs w:val="32"/>
        </w:rPr>
        <w:t>各区县、高新区、保税区、海湾新区住房城乡建设主管部门, 市质监站、市安监总站</w:t>
      </w:r>
      <w:r>
        <w:rPr>
          <w:rFonts w:hint="eastAsia" w:ascii="仿宋_GB2312" w:hAnsi="仿宋_GB2312" w:cs="仿宋_GB2312"/>
          <w:szCs w:val="32"/>
        </w:rPr>
        <w:t>要按照“管行业必须管安全、管业务必须管安全、管生产经营必须管安全”的要求，组织有关单位开展消防安全隐患排查整改，凡发现存在重大消防安全隐患的地区，要对有关企业依法依规约谈提示、挂牌督办、联合惩戒。对涉及消防安全的违法违规行为，要建议当地公安消防部门对相关责任单位和责任人依法作出行政处罚、纳入安全生产和消防安全失信“黑名单”。</w:t>
      </w:r>
    </w:p>
    <w:p>
      <w:pPr>
        <w:ind w:firstLine="643" w:firstLineChars="200"/>
        <w:rPr>
          <w:rFonts w:ascii="仿宋_GB2312" w:hAnsi="仿宋_GB2312"/>
          <w:szCs w:val="32"/>
        </w:rPr>
      </w:pPr>
      <w:r>
        <w:rPr>
          <w:rFonts w:hint="eastAsia" w:ascii="楷体_GB2312" w:hAnsi="楷体_GB2312" w:eastAsia="楷体_GB2312" w:cs="楷体_GB2312"/>
          <w:b/>
          <w:bCs/>
          <w:szCs w:val="32"/>
        </w:rPr>
        <w:t>（三）全盘掌握情况，及时总结上报。</w:t>
      </w:r>
      <w:r>
        <w:rPr>
          <w:rFonts w:hint="eastAsia" w:ascii="仿宋_GB2312" w:hAnsi="仿宋_GB2312"/>
          <w:szCs w:val="32"/>
        </w:rPr>
        <w:t>市质监站、市安监总站要结合</w:t>
      </w:r>
      <w:r>
        <w:rPr>
          <w:rFonts w:hint="eastAsia" w:ascii="仿宋_GB2312" w:hAnsi="仿宋_GB2312" w:cs="仿宋_GB2312"/>
          <w:szCs w:val="32"/>
        </w:rPr>
        <w:t>《汕头市住建局转发广东省住房和城乡建设厅关于印发全省住房城乡建设系统2018年今冬明春火灾防控工作方案的通知》要求，</w:t>
      </w:r>
      <w:r>
        <w:rPr>
          <w:rFonts w:hint="eastAsia" w:ascii="仿宋_GB2312" w:hAnsi="仿宋_GB2312"/>
          <w:szCs w:val="32"/>
        </w:rPr>
        <w:t>从2018年12月起每月13日前上报当月工作小结，2019年全国“两会”结束后1天内报送工作总结报告。</w:t>
      </w:r>
    </w:p>
    <w:p>
      <w:pPr>
        <w:ind w:firstLine="640" w:firstLineChars="200"/>
        <w:rPr>
          <w:rFonts w:ascii="仿宋_GB2312" w:hAnsi="仿宋_GB2312" w:cs="仿宋_GB2312"/>
          <w:szCs w:val="32"/>
        </w:rPr>
      </w:pPr>
    </w:p>
    <w:p>
      <w:pPr>
        <w:rPr>
          <w:rFonts w:ascii="仿宋_GB2312" w:hAnsi="仿宋_GB2312" w:cs="仿宋_GB2312"/>
          <w:szCs w:val="32"/>
        </w:rPr>
      </w:pPr>
    </w:p>
    <w:p>
      <w:pPr>
        <w:ind w:firstLine="640" w:firstLineChars="200"/>
        <w:rPr>
          <w:rFonts w:ascii="仿宋_GB2312" w:hAnsi="仿宋_GB2312" w:cs="仿宋_GB2312"/>
          <w:szCs w:val="32"/>
        </w:rPr>
      </w:pPr>
      <w:r>
        <w:rPr>
          <w:rFonts w:hint="eastAsia" w:ascii="仿宋_GB2312" w:hAnsi="仿宋_GB2312" w:cs="仿宋_GB2312"/>
          <w:szCs w:val="32"/>
        </w:rPr>
        <w:t>附件：全市住房城乡建设系统2018年今冬明春火灾防控检查重点</w:t>
      </w:r>
    </w:p>
    <w:p>
      <w:pPr>
        <w:rPr>
          <w:rFonts w:ascii="仿宋_GB2312" w:hAnsi="仿宋_GB2312" w:cs="仿宋_GB2312"/>
          <w:szCs w:val="32"/>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rPr>
          <w:rFonts w:ascii="黑体" w:hAnsi="黑体" w:eastAsia="黑体" w:cs="黑体"/>
          <w:szCs w:val="32"/>
        </w:rPr>
      </w:pPr>
      <w:r>
        <w:rPr>
          <w:rFonts w:hint="eastAsia" w:ascii="黑体" w:hAnsi="黑体" w:eastAsia="黑体" w:cs="黑体"/>
          <w:szCs w:val="32"/>
        </w:rPr>
        <w:t>附件</w:t>
      </w:r>
    </w:p>
    <w:p>
      <w:pPr>
        <w:spacing w:line="600" w:lineRule="exact"/>
        <w:jc w:val="center"/>
        <w:rPr>
          <w:rFonts w:ascii="方正小标宋简体" w:hAnsi="方正小标宋简体" w:eastAsia="方正小标宋简体"/>
          <w:sz w:val="44"/>
        </w:rPr>
      </w:pPr>
      <w:r>
        <w:rPr>
          <w:rFonts w:hint="eastAsia" w:ascii="方正小标宋简体" w:hAnsi="方正小标宋简体" w:eastAsia="方正小标宋简体"/>
          <w:sz w:val="44"/>
        </w:rPr>
        <w:t>全市住房城乡建设系统2018年今冬明春火灾防控检查重点</w:t>
      </w:r>
    </w:p>
    <w:p>
      <w:pPr>
        <w:jc w:val="center"/>
        <w:rPr>
          <w:rFonts w:eastAsia="仿宋"/>
        </w:rPr>
      </w:pPr>
      <w:r>
        <w:rPr>
          <w:rFonts w:hint="eastAsia"/>
        </w:rPr>
        <w:t>（表一）</w:t>
      </w:r>
    </w:p>
    <w:tbl>
      <w:tblPr>
        <w:tblStyle w:val="6"/>
        <w:tblW w:w="129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110"/>
        <w:gridCol w:w="7080"/>
        <w:gridCol w:w="3345"/>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23" w:type="dxa"/>
            <w:vAlign w:val="center"/>
          </w:tcPr>
          <w:p>
            <w:pPr>
              <w:spacing w:line="360" w:lineRule="exact"/>
              <w:jc w:val="center"/>
              <w:rPr>
                <w:rFonts w:eastAsia="宋体"/>
                <w:b/>
                <w:bCs/>
                <w:sz w:val="21"/>
              </w:rPr>
            </w:pPr>
            <w:r>
              <w:rPr>
                <w:rFonts w:hint="eastAsia" w:eastAsia="宋体"/>
                <w:b/>
                <w:bCs/>
                <w:sz w:val="21"/>
              </w:rPr>
              <w:t>序号</w:t>
            </w:r>
          </w:p>
        </w:tc>
        <w:tc>
          <w:tcPr>
            <w:tcW w:w="1110" w:type="dxa"/>
            <w:vAlign w:val="center"/>
          </w:tcPr>
          <w:p>
            <w:pPr>
              <w:spacing w:line="360" w:lineRule="exact"/>
              <w:jc w:val="center"/>
              <w:rPr>
                <w:rFonts w:eastAsia="宋体"/>
                <w:b/>
                <w:bCs/>
                <w:sz w:val="21"/>
              </w:rPr>
            </w:pPr>
            <w:r>
              <w:rPr>
                <w:rFonts w:hint="eastAsia" w:eastAsia="宋体"/>
                <w:b/>
                <w:bCs/>
                <w:sz w:val="21"/>
              </w:rPr>
              <w:t>类别</w:t>
            </w:r>
          </w:p>
        </w:tc>
        <w:tc>
          <w:tcPr>
            <w:tcW w:w="7080" w:type="dxa"/>
            <w:vAlign w:val="center"/>
          </w:tcPr>
          <w:p>
            <w:pPr>
              <w:spacing w:line="360" w:lineRule="exact"/>
              <w:jc w:val="center"/>
              <w:rPr>
                <w:rFonts w:eastAsia="宋体"/>
                <w:b/>
                <w:bCs/>
                <w:sz w:val="21"/>
              </w:rPr>
            </w:pPr>
            <w:r>
              <w:rPr>
                <w:rFonts w:hint="eastAsia" w:eastAsia="宋体"/>
                <w:b/>
                <w:bCs/>
                <w:sz w:val="21"/>
              </w:rPr>
              <w:t>内容</w:t>
            </w:r>
          </w:p>
        </w:tc>
        <w:tc>
          <w:tcPr>
            <w:tcW w:w="3345" w:type="dxa"/>
            <w:vAlign w:val="center"/>
          </w:tcPr>
          <w:p>
            <w:pPr>
              <w:spacing w:line="360" w:lineRule="exact"/>
              <w:jc w:val="center"/>
              <w:rPr>
                <w:rFonts w:eastAsia="宋体"/>
                <w:b/>
                <w:bCs/>
                <w:sz w:val="21"/>
              </w:rPr>
            </w:pPr>
            <w:r>
              <w:rPr>
                <w:rFonts w:hint="eastAsia" w:eastAsia="宋体"/>
                <w:b/>
                <w:bCs/>
                <w:sz w:val="21"/>
              </w:rPr>
              <w:t>检查情况</w:t>
            </w:r>
          </w:p>
        </w:tc>
        <w:tc>
          <w:tcPr>
            <w:tcW w:w="715" w:type="dxa"/>
            <w:vAlign w:val="center"/>
          </w:tcPr>
          <w:p>
            <w:pPr>
              <w:spacing w:line="360" w:lineRule="exact"/>
              <w:jc w:val="center"/>
              <w:rPr>
                <w:rFonts w:eastAsia="宋体"/>
                <w:b/>
                <w:bCs/>
                <w:sz w:val="21"/>
              </w:rPr>
            </w:pPr>
            <w:r>
              <w:rPr>
                <w:rFonts w:hint="eastAsia" w:eastAsia="宋体"/>
                <w:b/>
                <w:bCs/>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spacing w:line="360" w:lineRule="exact"/>
              <w:jc w:val="center"/>
              <w:rPr>
                <w:rFonts w:eastAsia="仿宋"/>
                <w:sz w:val="21"/>
              </w:rPr>
            </w:pPr>
            <w:r>
              <w:rPr>
                <w:rFonts w:hint="eastAsia"/>
                <w:sz w:val="21"/>
              </w:rPr>
              <w:t>1</w:t>
            </w:r>
          </w:p>
        </w:tc>
        <w:tc>
          <w:tcPr>
            <w:tcW w:w="1110" w:type="dxa"/>
            <w:vMerge w:val="restart"/>
            <w:vAlign w:val="center"/>
          </w:tcPr>
          <w:p>
            <w:pPr>
              <w:spacing w:line="360" w:lineRule="exact"/>
              <w:jc w:val="center"/>
              <w:rPr>
                <w:sz w:val="21"/>
              </w:rPr>
            </w:pPr>
            <w:r>
              <w:rPr>
                <w:rFonts w:hint="eastAsia" w:ascii="楷体" w:hAnsi="楷体" w:eastAsia="楷体"/>
                <w:b/>
                <w:bCs/>
                <w:sz w:val="21"/>
              </w:rPr>
              <w:t>房屋市政工程施工</w:t>
            </w:r>
          </w:p>
        </w:tc>
        <w:tc>
          <w:tcPr>
            <w:tcW w:w="7080" w:type="dxa"/>
            <w:vAlign w:val="center"/>
          </w:tcPr>
          <w:p>
            <w:pPr>
              <w:spacing w:line="360" w:lineRule="exact"/>
              <w:rPr>
                <w:sz w:val="21"/>
              </w:rPr>
            </w:pPr>
            <w:r>
              <w:rPr>
                <w:sz w:val="21"/>
              </w:rPr>
              <w:t>（1）施工现场是否编制消防设施布置平面图，是否将现场生活区、办公区和作业区按有关规定严格分开；在工地现场显要位置张挂防火警示标志。</w:t>
            </w:r>
          </w:p>
        </w:tc>
        <w:tc>
          <w:tcPr>
            <w:tcW w:w="3345" w:type="dxa"/>
            <w:vAlign w:val="center"/>
          </w:tcPr>
          <w:p>
            <w:pPr>
              <w:spacing w:line="360" w:lineRule="exact"/>
              <w:rPr>
                <w:sz w:val="21"/>
              </w:rPr>
            </w:pPr>
          </w:p>
        </w:tc>
        <w:tc>
          <w:tcPr>
            <w:tcW w:w="715" w:type="dxa"/>
            <w:vAlign w:val="center"/>
          </w:tcPr>
          <w:p>
            <w:pPr>
              <w:spacing w:line="36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23" w:type="dxa"/>
            <w:vAlign w:val="center"/>
          </w:tcPr>
          <w:p>
            <w:pPr>
              <w:spacing w:line="360" w:lineRule="exact"/>
              <w:jc w:val="center"/>
              <w:rPr>
                <w:rFonts w:eastAsia="仿宋"/>
                <w:sz w:val="21"/>
              </w:rPr>
            </w:pPr>
            <w:r>
              <w:rPr>
                <w:rFonts w:hint="eastAsia"/>
                <w:sz w:val="21"/>
              </w:rPr>
              <w:t>2</w:t>
            </w:r>
          </w:p>
        </w:tc>
        <w:tc>
          <w:tcPr>
            <w:tcW w:w="1110" w:type="dxa"/>
            <w:vMerge w:val="continue"/>
            <w:vAlign w:val="center"/>
          </w:tcPr>
          <w:p>
            <w:pPr>
              <w:spacing w:line="360" w:lineRule="exact"/>
              <w:rPr>
                <w:sz w:val="21"/>
              </w:rPr>
            </w:pPr>
          </w:p>
        </w:tc>
        <w:tc>
          <w:tcPr>
            <w:tcW w:w="7080" w:type="dxa"/>
            <w:vAlign w:val="center"/>
          </w:tcPr>
          <w:p>
            <w:pPr>
              <w:spacing w:line="360" w:lineRule="exact"/>
              <w:rPr>
                <w:sz w:val="21"/>
              </w:rPr>
            </w:pPr>
            <w:r>
              <w:rPr>
                <w:sz w:val="21"/>
              </w:rPr>
              <w:t>（2）是否按有关规定要求配置消防器材，设置消防水源和消防通道。</w:t>
            </w:r>
          </w:p>
        </w:tc>
        <w:tc>
          <w:tcPr>
            <w:tcW w:w="3345" w:type="dxa"/>
            <w:vAlign w:val="center"/>
          </w:tcPr>
          <w:p>
            <w:pPr>
              <w:spacing w:line="360" w:lineRule="exact"/>
              <w:rPr>
                <w:sz w:val="21"/>
              </w:rPr>
            </w:pPr>
          </w:p>
        </w:tc>
        <w:tc>
          <w:tcPr>
            <w:tcW w:w="715" w:type="dxa"/>
            <w:vAlign w:val="center"/>
          </w:tcPr>
          <w:p>
            <w:pPr>
              <w:spacing w:line="36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spacing w:line="360" w:lineRule="exact"/>
              <w:jc w:val="center"/>
              <w:rPr>
                <w:rFonts w:eastAsia="仿宋"/>
                <w:sz w:val="21"/>
              </w:rPr>
            </w:pPr>
            <w:r>
              <w:rPr>
                <w:rFonts w:hint="eastAsia"/>
                <w:sz w:val="21"/>
              </w:rPr>
              <w:t>3</w:t>
            </w:r>
          </w:p>
        </w:tc>
        <w:tc>
          <w:tcPr>
            <w:tcW w:w="1110" w:type="dxa"/>
            <w:vMerge w:val="continue"/>
            <w:vAlign w:val="center"/>
          </w:tcPr>
          <w:p>
            <w:pPr>
              <w:spacing w:line="360" w:lineRule="exact"/>
              <w:rPr>
                <w:sz w:val="21"/>
              </w:rPr>
            </w:pPr>
          </w:p>
        </w:tc>
        <w:tc>
          <w:tcPr>
            <w:tcW w:w="7080" w:type="dxa"/>
            <w:vAlign w:val="center"/>
          </w:tcPr>
          <w:p>
            <w:pPr>
              <w:spacing w:line="360" w:lineRule="exact"/>
              <w:rPr>
                <w:sz w:val="21"/>
              </w:rPr>
            </w:pPr>
            <w:r>
              <w:rPr>
                <w:sz w:val="21"/>
              </w:rPr>
              <w:t>（3）在工人宿舍、木工间、油漆仓库、配电房等重点防火部位是否配置合格、有效、数量充足的灭火器材，并专人负责定期检查、维护、保养，保证其可有效使用。</w:t>
            </w:r>
          </w:p>
        </w:tc>
        <w:tc>
          <w:tcPr>
            <w:tcW w:w="3345" w:type="dxa"/>
            <w:vAlign w:val="center"/>
          </w:tcPr>
          <w:p>
            <w:pPr>
              <w:spacing w:line="360" w:lineRule="exact"/>
              <w:rPr>
                <w:sz w:val="21"/>
              </w:rPr>
            </w:pPr>
          </w:p>
        </w:tc>
        <w:tc>
          <w:tcPr>
            <w:tcW w:w="715" w:type="dxa"/>
            <w:vAlign w:val="center"/>
          </w:tcPr>
          <w:p>
            <w:pPr>
              <w:spacing w:line="36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23" w:type="dxa"/>
            <w:vAlign w:val="center"/>
          </w:tcPr>
          <w:p>
            <w:pPr>
              <w:spacing w:line="360" w:lineRule="exact"/>
              <w:jc w:val="center"/>
              <w:rPr>
                <w:rFonts w:eastAsia="仿宋"/>
                <w:sz w:val="21"/>
              </w:rPr>
            </w:pPr>
            <w:r>
              <w:rPr>
                <w:rFonts w:hint="eastAsia"/>
                <w:sz w:val="21"/>
              </w:rPr>
              <w:t>4</w:t>
            </w:r>
          </w:p>
        </w:tc>
        <w:tc>
          <w:tcPr>
            <w:tcW w:w="1110" w:type="dxa"/>
            <w:vMerge w:val="continue"/>
            <w:vAlign w:val="center"/>
          </w:tcPr>
          <w:p>
            <w:pPr>
              <w:spacing w:line="360" w:lineRule="exact"/>
              <w:rPr>
                <w:sz w:val="21"/>
              </w:rPr>
            </w:pPr>
          </w:p>
        </w:tc>
        <w:tc>
          <w:tcPr>
            <w:tcW w:w="7080" w:type="dxa"/>
            <w:vAlign w:val="center"/>
          </w:tcPr>
          <w:p>
            <w:pPr>
              <w:spacing w:line="360" w:lineRule="exact"/>
              <w:rPr>
                <w:sz w:val="21"/>
              </w:rPr>
            </w:pPr>
            <w:r>
              <w:rPr>
                <w:sz w:val="21"/>
              </w:rPr>
              <w:t>（4）建筑电工以及电焊、气焊作业人员是否持特种作业资格证上岗，接受了岗前安全技术交底并按照相关操作规程进行作业。</w:t>
            </w:r>
          </w:p>
        </w:tc>
        <w:tc>
          <w:tcPr>
            <w:tcW w:w="3345" w:type="dxa"/>
            <w:vAlign w:val="center"/>
          </w:tcPr>
          <w:p>
            <w:pPr>
              <w:spacing w:line="360" w:lineRule="exact"/>
              <w:rPr>
                <w:sz w:val="21"/>
              </w:rPr>
            </w:pPr>
          </w:p>
        </w:tc>
        <w:tc>
          <w:tcPr>
            <w:tcW w:w="715" w:type="dxa"/>
            <w:vAlign w:val="center"/>
          </w:tcPr>
          <w:p>
            <w:pPr>
              <w:spacing w:line="36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spacing w:line="360" w:lineRule="exact"/>
              <w:jc w:val="center"/>
              <w:rPr>
                <w:rFonts w:eastAsia="仿宋"/>
                <w:sz w:val="21"/>
              </w:rPr>
            </w:pPr>
            <w:r>
              <w:rPr>
                <w:rFonts w:hint="eastAsia"/>
                <w:sz w:val="21"/>
              </w:rPr>
              <w:t>5</w:t>
            </w:r>
          </w:p>
        </w:tc>
        <w:tc>
          <w:tcPr>
            <w:tcW w:w="1110" w:type="dxa"/>
            <w:vMerge w:val="continue"/>
            <w:vAlign w:val="center"/>
          </w:tcPr>
          <w:p>
            <w:pPr>
              <w:spacing w:line="360" w:lineRule="exact"/>
              <w:rPr>
                <w:sz w:val="21"/>
              </w:rPr>
            </w:pPr>
          </w:p>
        </w:tc>
        <w:tc>
          <w:tcPr>
            <w:tcW w:w="7080" w:type="dxa"/>
            <w:vAlign w:val="center"/>
          </w:tcPr>
          <w:p>
            <w:pPr>
              <w:spacing w:line="360" w:lineRule="exact"/>
              <w:rPr>
                <w:sz w:val="21"/>
              </w:rPr>
            </w:pPr>
            <w:r>
              <w:rPr>
                <w:sz w:val="21"/>
              </w:rPr>
              <w:t>（5）施工现场动火是否履行报批手续；明火作业前，是否已消除周围可燃物，落实明火作业监护人员和措施，并合理配备灭火器材。</w:t>
            </w:r>
          </w:p>
        </w:tc>
        <w:tc>
          <w:tcPr>
            <w:tcW w:w="3345" w:type="dxa"/>
            <w:vAlign w:val="center"/>
          </w:tcPr>
          <w:p>
            <w:pPr>
              <w:spacing w:line="360" w:lineRule="exact"/>
              <w:rPr>
                <w:sz w:val="21"/>
              </w:rPr>
            </w:pPr>
          </w:p>
        </w:tc>
        <w:tc>
          <w:tcPr>
            <w:tcW w:w="715" w:type="dxa"/>
            <w:vAlign w:val="center"/>
          </w:tcPr>
          <w:p>
            <w:pPr>
              <w:spacing w:line="36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23" w:type="dxa"/>
            <w:vAlign w:val="center"/>
          </w:tcPr>
          <w:p>
            <w:pPr>
              <w:spacing w:line="360" w:lineRule="exact"/>
              <w:jc w:val="center"/>
              <w:rPr>
                <w:rFonts w:eastAsia="仿宋"/>
                <w:sz w:val="21"/>
              </w:rPr>
            </w:pPr>
            <w:r>
              <w:rPr>
                <w:rFonts w:hint="eastAsia"/>
                <w:sz w:val="21"/>
              </w:rPr>
              <w:t>6</w:t>
            </w:r>
          </w:p>
        </w:tc>
        <w:tc>
          <w:tcPr>
            <w:tcW w:w="1110" w:type="dxa"/>
            <w:vMerge w:val="continue"/>
            <w:vAlign w:val="center"/>
          </w:tcPr>
          <w:p>
            <w:pPr>
              <w:spacing w:line="360" w:lineRule="exact"/>
              <w:rPr>
                <w:sz w:val="21"/>
              </w:rPr>
            </w:pPr>
          </w:p>
        </w:tc>
        <w:tc>
          <w:tcPr>
            <w:tcW w:w="7080" w:type="dxa"/>
            <w:vAlign w:val="center"/>
          </w:tcPr>
          <w:p>
            <w:pPr>
              <w:spacing w:line="360" w:lineRule="exact"/>
              <w:rPr>
                <w:sz w:val="21"/>
              </w:rPr>
            </w:pPr>
            <w:r>
              <w:rPr>
                <w:sz w:val="21"/>
              </w:rPr>
              <w:t>（6）工地食堂的防火措施是否符合要求,工人宿舍区是否有专人负责防火管理，是否存在私拉乱接电线，是否存在使用大功率取暖电器的隐患。</w:t>
            </w:r>
          </w:p>
        </w:tc>
        <w:tc>
          <w:tcPr>
            <w:tcW w:w="3345" w:type="dxa"/>
            <w:vAlign w:val="center"/>
          </w:tcPr>
          <w:p>
            <w:pPr>
              <w:spacing w:line="360" w:lineRule="exact"/>
              <w:rPr>
                <w:sz w:val="21"/>
              </w:rPr>
            </w:pPr>
          </w:p>
        </w:tc>
        <w:tc>
          <w:tcPr>
            <w:tcW w:w="715" w:type="dxa"/>
            <w:vAlign w:val="center"/>
          </w:tcPr>
          <w:p>
            <w:pPr>
              <w:spacing w:line="36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spacing w:line="360" w:lineRule="exact"/>
              <w:jc w:val="center"/>
              <w:rPr>
                <w:rFonts w:eastAsia="仿宋"/>
                <w:sz w:val="21"/>
              </w:rPr>
            </w:pPr>
            <w:r>
              <w:rPr>
                <w:rFonts w:hint="eastAsia"/>
                <w:sz w:val="21"/>
              </w:rPr>
              <w:t>7</w:t>
            </w:r>
          </w:p>
        </w:tc>
        <w:tc>
          <w:tcPr>
            <w:tcW w:w="1110" w:type="dxa"/>
            <w:vMerge w:val="continue"/>
            <w:vAlign w:val="center"/>
          </w:tcPr>
          <w:p>
            <w:pPr>
              <w:spacing w:line="360" w:lineRule="exact"/>
              <w:rPr>
                <w:sz w:val="21"/>
              </w:rPr>
            </w:pPr>
          </w:p>
        </w:tc>
        <w:tc>
          <w:tcPr>
            <w:tcW w:w="7080" w:type="dxa"/>
            <w:vAlign w:val="center"/>
          </w:tcPr>
          <w:p>
            <w:pPr>
              <w:spacing w:line="360" w:lineRule="exact"/>
              <w:rPr>
                <w:sz w:val="21"/>
              </w:rPr>
            </w:pPr>
            <w:r>
              <w:rPr>
                <w:sz w:val="21"/>
              </w:rPr>
              <w:t>（7）施工所用的易燃易爆物品和压缩气体瓶是否设有专用仓库，分类隔离存放。</w:t>
            </w:r>
          </w:p>
        </w:tc>
        <w:tc>
          <w:tcPr>
            <w:tcW w:w="3345" w:type="dxa"/>
            <w:vAlign w:val="center"/>
          </w:tcPr>
          <w:p>
            <w:pPr>
              <w:spacing w:line="360" w:lineRule="exact"/>
              <w:rPr>
                <w:sz w:val="21"/>
              </w:rPr>
            </w:pPr>
          </w:p>
        </w:tc>
        <w:tc>
          <w:tcPr>
            <w:tcW w:w="715" w:type="dxa"/>
            <w:vAlign w:val="center"/>
          </w:tcPr>
          <w:p>
            <w:pPr>
              <w:spacing w:line="36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23" w:type="dxa"/>
            <w:vAlign w:val="center"/>
          </w:tcPr>
          <w:p>
            <w:pPr>
              <w:spacing w:line="360" w:lineRule="exact"/>
              <w:jc w:val="center"/>
              <w:rPr>
                <w:rFonts w:eastAsia="仿宋"/>
                <w:sz w:val="21"/>
              </w:rPr>
            </w:pPr>
            <w:r>
              <w:rPr>
                <w:rFonts w:hint="eastAsia"/>
                <w:sz w:val="21"/>
              </w:rPr>
              <w:t>8</w:t>
            </w:r>
          </w:p>
        </w:tc>
        <w:tc>
          <w:tcPr>
            <w:tcW w:w="1110" w:type="dxa"/>
            <w:vMerge w:val="continue"/>
            <w:vAlign w:val="center"/>
          </w:tcPr>
          <w:p>
            <w:pPr>
              <w:spacing w:line="360" w:lineRule="exact"/>
              <w:rPr>
                <w:sz w:val="21"/>
              </w:rPr>
            </w:pPr>
          </w:p>
        </w:tc>
        <w:tc>
          <w:tcPr>
            <w:tcW w:w="7080" w:type="dxa"/>
            <w:vAlign w:val="center"/>
          </w:tcPr>
          <w:p>
            <w:pPr>
              <w:spacing w:line="360" w:lineRule="exact"/>
              <w:rPr>
                <w:sz w:val="21"/>
              </w:rPr>
            </w:pPr>
            <w:r>
              <w:rPr>
                <w:sz w:val="21"/>
              </w:rPr>
              <w:t>（8）根据施工消防的特点，是否对施工作业人员专门开展了加强灭火技能、逃生、自救、互救等消防常识的培训教育，并组织开展消防救援演练。</w:t>
            </w:r>
          </w:p>
        </w:tc>
        <w:tc>
          <w:tcPr>
            <w:tcW w:w="3345" w:type="dxa"/>
            <w:vAlign w:val="center"/>
          </w:tcPr>
          <w:p>
            <w:pPr>
              <w:spacing w:line="360" w:lineRule="exact"/>
              <w:rPr>
                <w:sz w:val="21"/>
              </w:rPr>
            </w:pPr>
          </w:p>
        </w:tc>
        <w:tc>
          <w:tcPr>
            <w:tcW w:w="715" w:type="dxa"/>
            <w:vAlign w:val="center"/>
          </w:tcPr>
          <w:p>
            <w:pPr>
              <w:spacing w:line="36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spacing w:line="360" w:lineRule="exact"/>
              <w:jc w:val="center"/>
              <w:rPr>
                <w:rFonts w:eastAsia="仿宋"/>
                <w:sz w:val="21"/>
              </w:rPr>
            </w:pPr>
            <w:r>
              <w:rPr>
                <w:rFonts w:hint="eastAsia"/>
                <w:sz w:val="21"/>
              </w:rPr>
              <w:t>9</w:t>
            </w:r>
          </w:p>
        </w:tc>
        <w:tc>
          <w:tcPr>
            <w:tcW w:w="1110" w:type="dxa"/>
            <w:vMerge w:val="continue"/>
            <w:vAlign w:val="center"/>
          </w:tcPr>
          <w:p>
            <w:pPr>
              <w:spacing w:line="360" w:lineRule="exact"/>
              <w:rPr>
                <w:sz w:val="21"/>
              </w:rPr>
            </w:pPr>
          </w:p>
        </w:tc>
        <w:tc>
          <w:tcPr>
            <w:tcW w:w="7080" w:type="dxa"/>
            <w:vAlign w:val="center"/>
          </w:tcPr>
          <w:p>
            <w:pPr>
              <w:spacing w:line="360" w:lineRule="exact"/>
              <w:rPr>
                <w:rFonts w:eastAsia="仿宋"/>
                <w:sz w:val="21"/>
              </w:rPr>
            </w:pPr>
            <w:r>
              <w:rPr>
                <w:rFonts w:hint="eastAsia"/>
                <w:sz w:val="21"/>
              </w:rPr>
              <w:t>（9）其他。</w:t>
            </w:r>
          </w:p>
        </w:tc>
        <w:tc>
          <w:tcPr>
            <w:tcW w:w="3345" w:type="dxa"/>
            <w:vAlign w:val="center"/>
          </w:tcPr>
          <w:p>
            <w:pPr>
              <w:spacing w:line="360" w:lineRule="exact"/>
              <w:rPr>
                <w:sz w:val="21"/>
              </w:rPr>
            </w:pPr>
          </w:p>
        </w:tc>
        <w:tc>
          <w:tcPr>
            <w:tcW w:w="715" w:type="dxa"/>
            <w:vAlign w:val="center"/>
          </w:tcPr>
          <w:p>
            <w:pPr>
              <w:spacing w:line="360" w:lineRule="exact"/>
              <w:rPr>
                <w:sz w:val="21"/>
              </w:rPr>
            </w:pPr>
          </w:p>
        </w:tc>
      </w:tr>
    </w:tbl>
    <w:p>
      <w:pPr>
        <w:spacing w:line="600" w:lineRule="exact"/>
        <w:jc w:val="center"/>
        <w:rPr>
          <w:rFonts w:ascii="方正小标宋简体" w:hAnsi="方正小标宋简体" w:eastAsia="方正小标宋简体"/>
          <w:sz w:val="44"/>
        </w:rPr>
      </w:pPr>
      <w:r>
        <w:rPr>
          <w:rFonts w:hint="eastAsia" w:ascii="方正小标宋简体" w:hAnsi="方正小标宋简体" w:eastAsia="方正小标宋简体"/>
          <w:sz w:val="44"/>
        </w:rPr>
        <w:t>全市住房城乡建设系统2018年今冬明春火灾防控检查重点</w:t>
      </w:r>
    </w:p>
    <w:p>
      <w:pPr>
        <w:jc w:val="center"/>
        <w:rPr>
          <w:rFonts w:eastAsia="仿宋"/>
        </w:rPr>
      </w:pPr>
      <w:r>
        <w:rPr>
          <w:rFonts w:hint="eastAsia"/>
        </w:rPr>
        <w:t>（表二）</w:t>
      </w:r>
    </w:p>
    <w:tbl>
      <w:tblPr>
        <w:tblStyle w:val="6"/>
        <w:tblW w:w="129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110"/>
        <w:gridCol w:w="7080"/>
        <w:gridCol w:w="3345"/>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23" w:type="dxa"/>
            <w:vAlign w:val="center"/>
          </w:tcPr>
          <w:p>
            <w:pPr>
              <w:spacing w:line="420" w:lineRule="exact"/>
              <w:jc w:val="center"/>
              <w:rPr>
                <w:rFonts w:eastAsia="宋体"/>
                <w:b/>
                <w:bCs/>
                <w:sz w:val="21"/>
              </w:rPr>
            </w:pPr>
            <w:r>
              <w:rPr>
                <w:rFonts w:hint="eastAsia" w:eastAsia="宋体"/>
                <w:b/>
                <w:bCs/>
                <w:sz w:val="21"/>
              </w:rPr>
              <w:t>序号</w:t>
            </w:r>
          </w:p>
        </w:tc>
        <w:tc>
          <w:tcPr>
            <w:tcW w:w="1110" w:type="dxa"/>
            <w:vAlign w:val="center"/>
          </w:tcPr>
          <w:p>
            <w:pPr>
              <w:spacing w:line="420" w:lineRule="exact"/>
              <w:jc w:val="center"/>
              <w:rPr>
                <w:rFonts w:eastAsia="宋体"/>
                <w:b/>
                <w:bCs/>
                <w:sz w:val="21"/>
              </w:rPr>
            </w:pPr>
            <w:r>
              <w:rPr>
                <w:rFonts w:hint="eastAsia" w:eastAsia="宋体"/>
                <w:b/>
                <w:bCs/>
                <w:sz w:val="21"/>
              </w:rPr>
              <w:t>类别</w:t>
            </w:r>
          </w:p>
        </w:tc>
        <w:tc>
          <w:tcPr>
            <w:tcW w:w="7080" w:type="dxa"/>
            <w:vAlign w:val="center"/>
          </w:tcPr>
          <w:p>
            <w:pPr>
              <w:spacing w:line="420" w:lineRule="exact"/>
              <w:jc w:val="center"/>
              <w:rPr>
                <w:rFonts w:eastAsia="宋体"/>
                <w:b/>
                <w:bCs/>
                <w:sz w:val="21"/>
              </w:rPr>
            </w:pPr>
            <w:r>
              <w:rPr>
                <w:rFonts w:hint="eastAsia" w:eastAsia="宋体"/>
                <w:b/>
                <w:bCs/>
                <w:sz w:val="21"/>
              </w:rPr>
              <w:t>内容</w:t>
            </w:r>
          </w:p>
        </w:tc>
        <w:tc>
          <w:tcPr>
            <w:tcW w:w="3345" w:type="dxa"/>
            <w:vAlign w:val="center"/>
          </w:tcPr>
          <w:p>
            <w:pPr>
              <w:spacing w:line="420" w:lineRule="exact"/>
              <w:jc w:val="center"/>
              <w:rPr>
                <w:rFonts w:eastAsia="宋体"/>
                <w:b/>
                <w:bCs/>
                <w:sz w:val="21"/>
              </w:rPr>
            </w:pPr>
            <w:r>
              <w:rPr>
                <w:rFonts w:hint="eastAsia" w:eastAsia="宋体"/>
                <w:b/>
                <w:bCs/>
                <w:sz w:val="21"/>
              </w:rPr>
              <w:t>检查情况</w:t>
            </w:r>
          </w:p>
        </w:tc>
        <w:tc>
          <w:tcPr>
            <w:tcW w:w="715" w:type="dxa"/>
            <w:vAlign w:val="center"/>
          </w:tcPr>
          <w:p>
            <w:pPr>
              <w:spacing w:line="420" w:lineRule="exact"/>
              <w:jc w:val="center"/>
              <w:rPr>
                <w:rFonts w:eastAsia="宋体"/>
                <w:b/>
                <w:bCs/>
                <w:sz w:val="21"/>
              </w:rPr>
            </w:pPr>
            <w:r>
              <w:rPr>
                <w:rFonts w:hint="eastAsia" w:eastAsia="宋体"/>
                <w:b/>
                <w:bCs/>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723" w:type="dxa"/>
            <w:vAlign w:val="center"/>
          </w:tcPr>
          <w:p>
            <w:pPr>
              <w:spacing w:line="420" w:lineRule="exact"/>
              <w:jc w:val="center"/>
              <w:rPr>
                <w:rFonts w:eastAsia="仿宋"/>
                <w:sz w:val="21"/>
              </w:rPr>
            </w:pPr>
            <w:r>
              <w:rPr>
                <w:rFonts w:hint="eastAsia"/>
                <w:sz w:val="21"/>
              </w:rPr>
              <w:t>15</w:t>
            </w:r>
          </w:p>
        </w:tc>
        <w:tc>
          <w:tcPr>
            <w:tcW w:w="1110" w:type="dxa"/>
            <w:vMerge w:val="restart"/>
            <w:vAlign w:val="center"/>
          </w:tcPr>
          <w:p>
            <w:pPr>
              <w:spacing w:line="420" w:lineRule="exact"/>
              <w:rPr>
                <w:sz w:val="21"/>
              </w:rPr>
            </w:pPr>
            <w:r>
              <w:rPr>
                <w:rFonts w:hint="eastAsia" w:ascii="楷体" w:hAnsi="楷体" w:eastAsia="楷体"/>
                <w:b/>
                <w:bCs/>
                <w:sz w:val="21"/>
              </w:rPr>
              <w:t>燃气安全管理</w:t>
            </w:r>
          </w:p>
        </w:tc>
        <w:tc>
          <w:tcPr>
            <w:tcW w:w="7080" w:type="dxa"/>
            <w:vAlign w:val="center"/>
          </w:tcPr>
          <w:p>
            <w:pPr>
              <w:spacing w:line="420" w:lineRule="exact"/>
              <w:rPr>
                <w:sz w:val="21"/>
              </w:rPr>
            </w:pPr>
            <w:r>
              <w:rPr>
                <w:sz w:val="21"/>
              </w:rPr>
              <w:t>（1）燃气站点消防器材是否按规定配置和维护，安全警示标示是否规范。</w:t>
            </w:r>
          </w:p>
        </w:tc>
        <w:tc>
          <w:tcPr>
            <w:tcW w:w="3345" w:type="dxa"/>
            <w:vAlign w:val="center"/>
          </w:tcPr>
          <w:p>
            <w:pPr>
              <w:spacing w:line="420" w:lineRule="exact"/>
              <w:rPr>
                <w:sz w:val="21"/>
              </w:rPr>
            </w:pPr>
          </w:p>
        </w:tc>
        <w:tc>
          <w:tcPr>
            <w:tcW w:w="715" w:type="dxa"/>
            <w:vAlign w:val="center"/>
          </w:tcPr>
          <w:p>
            <w:pPr>
              <w:spacing w:line="42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spacing w:line="420" w:lineRule="exact"/>
              <w:jc w:val="center"/>
              <w:rPr>
                <w:rFonts w:eastAsia="仿宋"/>
                <w:sz w:val="21"/>
              </w:rPr>
            </w:pPr>
            <w:r>
              <w:rPr>
                <w:rFonts w:hint="eastAsia"/>
                <w:sz w:val="21"/>
              </w:rPr>
              <w:t>16</w:t>
            </w:r>
          </w:p>
        </w:tc>
        <w:tc>
          <w:tcPr>
            <w:tcW w:w="1110" w:type="dxa"/>
            <w:vMerge w:val="continue"/>
            <w:vAlign w:val="center"/>
          </w:tcPr>
          <w:p>
            <w:pPr>
              <w:spacing w:line="420" w:lineRule="exact"/>
              <w:rPr>
                <w:sz w:val="21"/>
              </w:rPr>
            </w:pPr>
          </w:p>
        </w:tc>
        <w:tc>
          <w:tcPr>
            <w:tcW w:w="7080" w:type="dxa"/>
            <w:vAlign w:val="center"/>
          </w:tcPr>
          <w:p>
            <w:pPr>
              <w:spacing w:line="420" w:lineRule="exact"/>
              <w:rPr>
                <w:sz w:val="21"/>
              </w:rPr>
            </w:pPr>
            <w:r>
              <w:rPr>
                <w:sz w:val="21"/>
              </w:rPr>
              <w:t>（2）燃气管网的运营管理是否设立了供管站，专门负责城区管网的维护保养、检查，户内燃气设施的维修、检查工作。</w:t>
            </w:r>
          </w:p>
        </w:tc>
        <w:tc>
          <w:tcPr>
            <w:tcW w:w="3345" w:type="dxa"/>
            <w:vAlign w:val="center"/>
          </w:tcPr>
          <w:p>
            <w:pPr>
              <w:spacing w:line="420" w:lineRule="exact"/>
              <w:rPr>
                <w:sz w:val="21"/>
              </w:rPr>
            </w:pPr>
          </w:p>
        </w:tc>
        <w:tc>
          <w:tcPr>
            <w:tcW w:w="715" w:type="dxa"/>
            <w:vAlign w:val="center"/>
          </w:tcPr>
          <w:p>
            <w:pPr>
              <w:spacing w:line="42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spacing w:line="420" w:lineRule="exact"/>
              <w:jc w:val="center"/>
              <w:rPr>
                <w:rFonts w:eastAsia="仿宋"/>
                <w:sz w:val="21"/>
              </w:rPr>
            </w:pPr>
            <w:r>
              <w:rPr>
                <w:rFonts w:hint="eastAsia"/>
                <w:sz w:val="21"/>
              </w:rPr>
              <w:t>17</w:t>
            </w:r>
          </w:p>
        </w:tc>
        <w:tc>
          <w:tcPr>
            <w:tcW w:w="1110" w:type="dxa"/>
            <w:vMerge w:val="continue"/>
            <w:vAlign w:val="center"/>
          </w:tcPr>
          <w:p>
            <w:pPr>
              <w:spacing w:line="420" w:lineRule="exact"/>
              <w:rPr>
                <w:sz w:val="21"/>
              </w:rPr>
            </w:pPr>
          </w:p>
        </w:tc>
        <w:tc>
          <w:tcPr>
            <w:tcW w:w="7080" w:type="dxa"/>
            <w:vAlign w:val="center"/>
          </w:tcPr>
          <w:p>
            <w:pPr>
              <w:spacing w:line="420" w:lineRule="exact"/>
              <w:rPr>
                <w:sz w:val="21"/>
              </w:rPr>
            </w:pPr>
            <w:r>
              <w:rPr>
                <w:sz w:val="21"/>
              </w:rPr>
              <w:t>（3）燃气安全管理制度是否落实，是否建立了燃气事故应急预案，是否配备应急抢险队伍、应急设备和应急物资。</w:t>
            </w:r>
          </w:p>
        </w:tc>
        <w:tc>
          <w:tcPr>
            <w:tcW w:w="3345" w:type="dxa"/>
            <w:vAlign w:val="center"/>
          </w:tcPr>
          <w:p>
            <w:pPr>
              <w:spacing w:line="420" w:lineRule="exact"/>
              <w:rPr>
                <w:sz w:val="21"/>
              </w:rPr>
            </w:pPr>
          </w:p>
        </w:tc>
        <w:tc>
          <w:tcPr>
            <w:tcW w:w="715" w:type="dxa"/>
            <w:vAlign w:val="center"/>
          </w:tcPr>
          <w:p>
            <w:pPr>
              <w:spacing w:line="420" w:lineRule="exact"/>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spacing w:line="420" w:lineRule="exact"/>
              <w:jc w:val="center"/>
              <w:rPr>
                <w:rFonts w:eastAsia="仿宋"/>
                <w:sz w:val="21"/>
              </w:rPr>
            </w:pPr>
            <w:r>
              <w:rPr>
                <w:rFonts w:hint="eastAsia"/>
                <w:sz w:val="21"/>
              </w:rPr>
              <w:t>18</w:t>
            </w:r>
          </w:p>
        </w:tc>
        <w:tc>
          <w:tcPr>
            <w:tcW w:w="1110" w:type="dxa"/>
            <w:vMerge w:val="continue"/>
            <w:vAlign w:val="center"/>
          </w:tcPr>
          <w:p>
            <w:pPr>
              <w:spacing w:line="420" w:lineRule="exact"/>
              <w:rPr>
                <w:sz w:val="21"/>
              </w:rPr>
            </w:pPr>
          </w:p>
        </w:tc>
        <w:tc>
          <w:tcPr>
            <w:tcW w:w="7080" w:type="dxa"/>
            <w:vAlign w:val="center"/>
          </w:tcPr>
          <w:p>
            <w:pPr>
              <w:spacing w:line="420" w:lineRule="exact"/>
              <w:rPr>
                <w:rFonts w:eastAsia="仿宋"/>
                <w:sz w:val="21"/>
              </w:rPr>
            </w:pPr>
            <w:r>
              <w:rPr>
                <w:rFonts w:hint="eastAsia"/>
                <w:sz w:val="21"/>
              </w:rPr>
              <w:t>（4）其他。</w:t>
            </w:r>
          </w:p>
        </w:tc>
        <w:tc>
          <w:tcPr>
            <w:tcW w:w="3345" w:type="dxa"/>
            <w:vAlign w:val="center"/>
          </w:tcPr>
          <w:p>
            <w:pPr>
              <w:spacing w:line="420" w:lineRule="exact"/>
              <w:rPr>
                <w:sz w:val="21"/>
              </w:rPr>
            </w:pPr>
          </w:p>
        </w:tc>
        <w:tc>
          <w:tcPr>
            <w:tcW w:w="715" w:type="dxa"/>
            <w:vAlign w:val="center"/>
          </w:tcPr>
          <w:p>
            <w:pPr>
              <w:spacing w:line="420" w:lineRule="exact"/>
              <w:rPr>
                <w:sz w:val="21"/>
              </w:rPr>
            </w:pPr>
          </w:p>
        </w:tc>
      </w:tr>
    </w:tbl>
    <w:p>
      <w:pPr>
        <w:spacing w:line="600" w:lineRule="exact"/>
        <w:jc w:val="center"/>
        <w:rPr>
          <w:rFonts w:ascii="方正小标宋简体" w:hAnsi="方正小标宋简体" w:eastAsia="方正小标宋简体"/>
          <w:sz w:val="44"/>
        </w:rPr>
      </w:pPr>
    </w:p>
    <w:p>
      <w:pPr>
        <w:spacing w:line="600" w:lineRule="exact"/>
        <w:jc w:val="center"/>
        <w:rPr>
          <w:rFonts w:ascii="方正小标宋简体" w:hAnsi="方正小标宋简体" w:eastAsia="方正小标宋简体"/>
          <w:sz w:val="44"/>
        </w:rPr>
      </w:pPr>
    </w:p>
    <w:p>
      <w:pPr>
        <w:spacing w:line="600" w:lineRule="exact"/>
        <w:jc w:val="center"/>
        <w:rPr>
          <w:rFonts w:ascii="方正小标宋简体" w:hAnsi="方正小标宋简体" w:eastAsia="方正小标宋简体"/>
          <w:sz w:val="44"/>
        </w:rPr>
      </w:pPr>
    </w:p>
    <w:p>
      <w:pPr>
        <w:spacing w:line="600" w:lineRule="exact"/>
        <w:jc w:val="center"/>
        <w:rPr>
          <w:rFonts w:ascii="方正小标宋简体" w:hAnsi="方正小标宋简体" w:eastAsia="方正小标宋简体"/>
          <w:sz w:val="44"/>
        </w:rPr>
      </w:pPr>
    </w:p>
    <w:p>
      <w:pPr>
        <w:spacing w:line="600" w:lineRule="exact"/>
        <w:jc w:val="center"/>
        <w:rPr>
          <w:rFonts w:ascii="方正小标宋简体" w:hAnsi="方正小标宋简体" w:eastAsia="方正小标宋简体"/>
          <w:sz w:val="44"/>
        </w:rPr>
      </w:pPr>
    </w:p>
    <w:p>
      <w:pPr>
        <w:spacing w:line="600" w:lineRule="exact"/>
        <w:jc w:val="center"/>
        <w:rPr>
          <w:rFonts w:ascii="方正小标宋简体" w:hAnsi="方正小标宋简体" w:eastAsia="方正小标宋简体"/>
          <w:sz w:val="44"/>
        </w:rPr>
      </w:pPr>
    </w:p>
    <w:p>
      <w:pPr>
        <w:spacing w:line="600" w:lineRule="exact"/>
        <w:jc w:val="center"/>
        <w:rPr>
          <w:rFonts w:ascii="方正小标宋简体" w:hAnsi="方正小标宋简体" w:eastAsia="方正小标宋简体"/>
          <w:sz w:val="44"/>
        </w:rPr>
      </w:pPr>
    </w:p>
    <w:p>
      <w:pPr>
        <w:spacing w:line="600" w:lineRule="exact"/>
        <w:jc w:val="center"/>
        <w:rPr>
          <w:rFonts w:ascii="方正小标宋简体" w:hAnsi="方正小标宋简体" w:eastAsia="方正小标宋简体"/>
          <w:sz w:val="44"/>
        </w:rPr>
      </w:pPr>
      <w:r>
        <w:rPr>
          <w:rFonts w:hint="eastAsia" w:ascii="方正小标宋简体" w:hAnsi="方正小标宋简体" w:eastAsia="方正小标宋简体"/>
          <w:sz w:val="44"/>
        </w:rPr>
        <w:t>全市住房城乡建设系统2018年今冬明春火灾防控检查重点</w:t>
      </w:r>
    </w:p>
    <w:p>
      <w:pPr>
        <w:jc w:val="center"/>
        <w:rPr>
          <w:rFonts w:eastAsia="仿宋"/>
        </w:rPr>
      </w:pPr>
      <w:r>
        <w:rPr>
          <w:rFonts w:hint="eastAsia"/>
        </w:rPr>
        <w:t>（表三）</w:t>
      </w:r>
    </w:p>
    <w:p/>
    <w:tbl>
      <w:tblPr>
        <w:tblStyle w:val="6"/>
        <w:tblW w:w="129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110"/>
        <w:gridCol w:w="7080"/>
        <w:gridCol w:w="3345"/>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jc w:val="center"/>
              <w:rPr>
                <w:rFonts w:eastAsia="宋体"/>
                <w:b/>
                <w:bCs/>
                <w:sz w:val="21"/>
              </w:rPr>
            </w:pPr>
            <w:r>
              <w:rPr>
                <w:rFonts w:hint="eastAsia" w:eastAsia="宋体"/>
                <w:b/>
                <w:bCs/>
                <w:sz w:val="21"/>
              </w:rPr>
              <w:t>序号</w:t>
            </w:r>
          </w:p>
        </w:tc>
        <w:tc>
          <w:tcPr>
            <w:tcW w:w="1110" w:type="dxa"/>
            <w:vAlign w:val="center"/>
          </w:tcPr>
          <w:p>
            <w:pPr>
              <w:jc w:val="center"/>
              <w:rPr>
                <w:rFonts w:eastAsia="宋体"/>
                <w:b/>
                <w:bCs/>
                <w:sz w:val="21"/>
              </w:rPr>
            </w:pPr>
            <w:r>
              <w:rPr>
                <w:rFonts w:hint="eastAsia" w:eastAsia="宋体"/>
                <w:b/>
                <w:bCs/>
                <w:sz w:val="21"/>
              </w:rPr>
              <w:t>类别</w:t>
            </w:r>
          </w:p>
        </w:tc>
        <w:tc>
          <w:tcPr>
            <w:tcW w:w="7080" w:type="dxa"/>
            <w:vAlign w:val="center"/>
          </w:tcPr>
          <w:p>
            <w:pPr>
              <w:jc w:val="center"/>
              <w:rPr>
                <w:rFonts w:eastAsia="宋体"/>
                <w:b/>
                <w:bCs/>
                <w:sz w:val="21"/>
              </w:rPr>
            </w:pPr>
            <w:r>
              <w:rPr>
                <w:rFonts w:hint="eastAsia" w:eastAsia="宋体"/>
                <w:b/>
                <w:bCs/>
                <w:sz w:val="21"/>
              </w:rPr>
              <w:t>内容</w:t>
            </w:r>
          </w:p>
        </w:tc>
        <w:tc>
          <w:tcPr>
            <w:tcW w:w="3345" w:type="dxa"/>
            <w:vAlign w:val="center"/>
          </w:tcPr>
          <w:p>
            <w:pPr>
              <w:jc w:val="center"/>
              <w:rPr>
                <w:rFonts w:eastAsia="宋体"/>
                <w:b/>
                <w:bCs/>
                <w:sz w:val="21"/>
              </w:rPr>
            </w:pPr>
            <w:r>
              <w:rPr>
                <w:rFonts w:hint="eastAsia" w:eastAsia="宋体"/>
                <w:b/>
                <w:bCs/>
                <w:sz w:val="21"/>
              </w:rPr>
              <w:t>检查情况</w:t>
            </w:r>
          </w:p>
        </w:tc>
        <w:tc>
          <w:tcPr>
            <w:tcW w:w="715" w:type="dxa"/>
            <w:vAlign w:val="center"/>
          </w:tcPr>
          <w:p>
            <w:pPr>
              <w:jc w:val="center"/>
              <w:rPr>
                <w:rFonts w:eastAsia="宋体"/>
                <w:b/>
                <w:bCs/>
                <w:sz w:val="21"/>
              </w:rPr>
            </w:pPr>
            <w:r>
              <w:rPr>
                <w:rFonts w:hint="eastAsia" w:eastAsia="宋体"/>
                <w:b/>
                <w:bCs/>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jc w:val="center"/>
              <w:rPr>
                <w:rFonts w:eastAsia="仿宋"/>
                <w:sz w:val="21"/>
              </w:rPr>
            </w:pPr>
            <w:r>
              <w:rPr>
                <w:rFonts w:hint="eastAsia"/>
                <w:sz w:val="21"/>
              </w:rPr>
              <w:t>19</w:t>
            </w:r>
          </w:p>
        </w:tc>
        <w:tc>
          <w:tcPr>
            <w:tcW w:w="1110" w:type="dxa"/>
            <w:vMerge w:val="restart"/>
            <w:vAlign w:val="center"/>
          </w:tcPr>
          <w:p>
            <w:pPr>
              <w:rPr>
                <w:sz w:val="21"/>
              </w:rPr>
            </w:pPr>
            <w:r>
              <w:rPr>
                <w:rFonts w:hint="eastAsia" w:ascii="楷体" w:hAnsi="楷体" w:eastAsia="楷体"/>
                <w:b/>
                <w:bCs/>
                <w:sz w:val="21"/>
              </w:rPr>
              <w:t>电气火灾综合治理</w:t>
            </w:r>
          </w:p>
        </w:tc>
        <w:tc>
          <w:tcPr>
            <w:tcW w:w="7080" w:type="dxa"/>
            <w:vAlign w:val="center"/>
          </w:tcPr>
          <w:p>
            <w:pPr>
              <w:rPr>
                <w:sz w:val="21"/>
              </w:rPr>
            </w:pPr>
            <w:r>
              <w:rPr>
                <w:sz w:val="21"/>
              </w:rPr>
              <w:t>（1）是否按照工程建设强制性标准要求，严格查核电气设计图纸，重点审查高层建筑、地下建筑、大型城市综合体、石油化工等电气设计。</w:t>
            </w:r>
          </w:p>
        </w:tc>
        <w:tc>
          <w:tcPr>
            <w:tcW w:w="3345" w:type="dxa"/>
            <w:vAlign w:val="center"/>
          </w:tcPr>
          <w:p>
            <w:pPr>
              <w:rPr>
                <w:sz w:val="21"/>
              </w:rPr>
            </w:pPr>
          </w:p>
        </w:tc>
        <w:tc>
          <w:tcPr>
            <w:tcW w:w="715" w:type="dxa"/>
            <w:vAlign w:val="center"/>
          </w:tcPr>
          <w:p>
            <w:pP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jc w:val="center"/>
              <w:rPr>
                <w:rFonts w:eastAsia="仿宋"/>
                <w:sz w:val="21"/>
              </w:rPr>
            </w:pPr>
            <w:r>
              <w:rPr>
                <w:rFonts w:hint="eastAsia"/>
                <w:sz w:val="21"/>
              </w:rPr>
              <w:t>20</w:t>
            </w:r>
          </w:p>
        </w:tc>
        <w:tc>
          <w:tcPr>
            <w:tcW w:w="1110" w:type="dxa"/>
            <w:vMerge w:val="continue"/>
            <w:vAlign w:val="center"/>
          </w:tcPr>
          <w:p>
            <w:pPr>
              <w:rPr>
                <w:sz w:val="21"/>
              </w:rPr>
            </w:pPr>
          </w:p>
        </w:tc>
        <w:tc>
          <w:tcPr>
            <w:tcW w:w="7080" w:type="dxa"/>
            <w:vAlign w:val="center"/>
          </w:tcPr>
          <w:p>
            <w:pPr>
              <w:rPr>
                <w:sz w:val="21"/>
              </w:rPr>
            </w:pPr>
            <w:r>
              <w:rPr>
                <w:sz w:val="21"/>
              </w:rPr>
              <w:t>（2）是否严格落实电器产品及其线路施工进场检查验收，严查施工单位不按设计图纸施工、偷工减料、使用劣质电线及质量不合格电器产品等问题和隐患。</w:t>
            </w:r>
          </w:p>
        </w:tc>
        <w:tc>
          <w:tcPr>
            <w:tcW w:w="3345" w:type="dxa"/>
            <w:vAlign w:val="center"/>
          </w:tcPr>
          <w:p>
            <w:pPr>
              <w:rPr>
                <w:sz w:val="21"/>
              </w:rPr>
            </w:pPr>
          </w:p>
        </w:tc>
        <w:tc>
          <w:tcPr>
            <w:tcW w:w="715" w:type="dxa"/>
            <w:vAlign w:val="center"/>
          </w:tcPr>
          <w:p>
            <w:pP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3" w:type="dxa"/>
            <w:vAlign w:val="center"/>
          </w:tcPr>
          <w:p>
            <w:pPr>
              <w:jc w:val="center"/>
              <w:rPr>
                <w:rFonts w:eastAsia="仿宋"/>
                <w:sz w:val="21"/>
              </w:rPr>
            </w:pPr>
            <w:r>
              <w:rPr>
                <w:rFonts w:hint="eastAsia"/>
                <w:sz w:val="21"/>
              </w:rPr>
              <w:t>21</w:t>
            </w:r>
          </w:p>
        </w:tc>
        <w:tc>
          <w:tcPr>
            <w:tcW w:w="1110" w:type="dxa"/>
            <w:vMerge w:val="continue"/>
            <w:vAlign w:val="center"/>
          </w:tcPr>
          <w:p>
            <w:pPr>
              <w:rPr>
                <w:sz w:val="21"/>
              </w:rPr>
            </w:pPr>
          </w:p>
        </w:tc>
        <w:tc>
          <w:tcPr>
            <w:tcW w:w="7080" w:type="dxa"/>
            <w:vAlign w:val="center"/>
          </w:tcPr>
          <w:p>
            <w:pPr>
              <w:rPr>
                <w:rFonts w:eastAsia="仿宋"/>
                <w:sz w:val="21"/>
              </w:rPr>
            </w:pPr>
            <w:r>
              <w:rPr>
                <w:rFonts w:hint="eastAsia"/>
                <w:sz w:val="21"/>
              </w:rPr>
              <w:t>（3）其他。</w:t>
            </w:r>
          </w:p>
        </w:tc>
        <w:tc>
          <w:tcPr>
            <w:tcW w:w="3345" w:type="dxa"/>
            <w:vAlign w:val="center"/>
          </w:tcPr>
          <w:p>
            <w:pPr>
              <w:rPr>
                <w:sz w:val="21"/>
              </w:rPr>
            </w:pPr>
          </w:p>
        </w:tc>
        <w:tc>
          <w:tcPr>
            <w:tcW w:w="715" w:type="dxa"/>
            <w:vAlign w:val="center"/>
          </w:tcPr>
          <w:p>
            <w:pPr>
              <w:rPr>
                <w:sz w:val="21"/>
              </w:rPr>
            </w:pPr>
          </w:p>
        </w:tc>
      </w:tr>
    </w:tbl>
    <w:p/>
    <w:p>
      <w:pPr>
        <w:rPr>
          <w:rFonts w:ascii="黑体" w:hAnsi="黑体" w:eastAsia="黑体" w:cs="Times New Roman"/>
          <w:kern w:val="0"/>
          <w:szCs w:val="32"/>
        </w:rPr>
      </w:pPr>
    </w:p>
    <w:p>
      <w:pPr>
        <w:rPr>
          <w:rFonts w:ascii="黑体" w:hAnsi="黑体" w:eastAsia="黑体" w:cs="Times New Roman"/>
          <w:kern w:val="0"/>
          <w:szCs w:val="32"/>
        </w:rPr>
      </w:pPr>
    </w:p>
    <w:p>
      <w:pPr>
        <w:rPr>
          <w:rFonts w:ascii="黑体" w:hAnsi="黑体" w:eastAsia="黑体" w:cs="Times New Roman"/>
          <w:kern w:val="0"/>
          <w:szCs w:val="32"/>
        </w:rPr>
      </w:pPr>
    </w:p>
    <w:p>
      <w:bookmarkStart w:id="0" w:name="_GoBack"/>
      <w:bookmarkEnd w:id="0"/>
    </w:p>
    <w:sectPr>
      <w:headerReference r:id="rId5" w:type="default"/>
      <w:footerReference r:id="rId6" w:type="default"/>
      <w:pgSz w:w="16838" w:h="11906" w:orient="landscape"/>
      <w:pgMar w:top="1588" w:right="2097" w:bottom="1474" w:left="1984" w:header="851" w:footer="1417"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公文小标宋简">
    <w:altName w:val="宋体"/>
    <w:panose1 w:val="02010609010101010101"/>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ind w:left="320" w:leftChars="100" w:right="320" w:rightChars="100"/>
                          </w:pPr>
                          <w:r>
                            <w:rPr>
                              <w:rStyle w:val="5"/>
                              <w:rFonts w:hint="eastAsia"/>
                              <w:sz w:val="28"/>
                            </w:rPr>
                            <w:t xml:space="preserve">— </w:t>
                          </w:r>
                          <w:r>
                            <w:rPr>
                              <w:rFonts w:hint="eastAsia"/>
                              <w:sz w:val="28"/>
                            </w:rPr>
                            <w:fldChar w:fldCharType="begin"/>
                          </w:r>
                          <w:r>
                            <w:rPr>
                              <w:rStyle w:val="5"/>
                              <w:rFonts w:hint="eastAsia"/>
                              <w:sz w:val="28"/>
                            </w:rPr>
                            <w:instrText xml:space="preserve"> PAGE  </w:instrText>
                          </w:r>
                          <w:r>
                            <w:rPr>
                              <w:rFonts w:hint="eastAsia"/>
                              <w:sz w:val="28"/>
                            </w:rPr>
                            <w:fldChar w:fldCharType="separate"/>
                          </w:r>
                          <w:r>
                            <w:rPr>
                              <w:rStyle w:val="5"/>
                              <w:sz w:val="28"/>
                            </w:rPr>
                            <w:t>1</w:t>
                          </w:r>
                          <w:r>
                            <w:rPr>
                              <w:rFonts w:hint="eastAsia"/>
                              <w:sz w:val="28"/>
                            </w:rPr>
                            <w:fldChar w:fldCharType="end"/>
                          </w:r>
                          <w:r>
                            <w:rPr>
                              <w:rStyle w:val="5"/>
                              <w:rFonts w:hint="eastAsia"/>
                              <w:sz w:val="28"/>
                            </w:rPr>
                            <w:t xml:space="preserve">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pStyle w:val="2"/>
                      <w:ind w:left="320" w:leftChars="100" w:right="320" w:rightChars="100"/>
                    </w:pPr>
                    <w:r>
                      <w:rPr>
                        <w:rStyle w:val="5"/>
                        <w:rFonts w:hint="eastAsia"/>
                        <w:sz w:val="28"/>
                      </w:rPr>
                      <w:t xml:space="preserve">— </w:t>
                    </w:r>
                    <w:r>
                      <w:rPr>
                        <w:rFonts w:hint="eastAsia"/>
                        <w:sz w:val="28"/>
                      </w:rPr>
                      <w:fldChar w:fldCharType="begin"/>
                    </w:r>
                    <w:r>
                      <w:rPr>
                        <w:rStyle w:val="5"/>
                        <w:rFonts w:hint="eastAsia"/>
                        <w:sz w:val="28"/>
                      </w:rPr>
                      <w:instrText xml:space="preserve"> PAGE  </w:instrText>
                    </w:r>
                    <w:r>
                      <w:rPr>
                        <w:rFonts w:hint="eastAsia"/>
                        <w:sz w:val="28"/>
                      </w:rPr>
                      <w:fldChar w:fldCharType="separate"/>
                    </w:r>
                    <w:r>
                      <w:rPr>
                        <w:rStyle w:val="5"/>
                        <w:sz w:val="28"/>
                      </w:rPr>
                      <w:t>1</w:t>
                    </w:r>
                    <w:r>
                      <w:rPr>
                        <w:rFonts w:hint="eastAsia"/>
                        <w:sz w:val="28"/>
                      </w:rPr>
                      <w:fldChar w:fldCharType="end"/>
                    </w:r>
                    <w:r>
                      <w:rPr>
                        <w:rStyle w:val="5"/>
                        <w:rFonts w:hint="eastAsia"/>
                        <w:sz w:val="28"/>
                      </w:rPr>
                      <w:t xml:space="preserve"> —</w:t>
                    </w: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ind w:left="320" w:leftChars="100" w:right="320" w:rightChars="100"/>
                          </w:pPr>
                          <w:r>
                            <w:rPr>
                              <w:rStyle w:val="5"/>
                              <w:rFonts w:hint="eastAsia"/>
                              <w:sz w:val="28"/>
                            </w:rPr>
                            <w:t xml:space="preserve">— </w:t>
                          </w:r>
                          <w:r>
                            <w:rPr>
                              <w:rFonts w:hint="eastAsia"/>
                              <w:sz w:val="28"/>
                            </w:rPr>
                            <w:fldChar w:fldCharType="begin"/>
                          </w:r>
                          <w:r>
                            <w:rPr>
                              <w:rStyle w:val="5"/>
                              <w:rFonts w:hint="eastAsia"/>
                              <w:sz w:val="28"/>
                            </w:rPr>
                            <w:instrText xml:space="preserve"> PAGE  </w:instrText>
                          </w:r>
                          <w:r>
                            <w:rPr>
                              <w:rFonts w:hint="eastAsia"/>
                              <w:sz w:val="28"/>
                            </w:rPr>
                            <w:fldChar w:fldCharType="separate"/>
                          </w:r>
                          <w:r>
                            <w:rPr>
                              <w:rStyle w:val="5"/>
                              <w:sz w:val="28"/>
                            </w:rPr>
                            <w:t>7</w:t>
                          </w:r>
                          <w:r>
                            <w:rPr>
                              <w:rFonts w:hint="eastAsia"/>
                              <w:sz w:val="28"/>
                            </w:rPr>
                            <w:fldChar w:fldCharType="end"/>
                          </w:r>
                          <w:r>
                            <w:rPr>
                              <w:rStyle w:val="5"/>
                              <w:rFonts w:hint="eastAsia"/>
                              <w:sz w:val="28"/>
                            </w:rPr>
                            <w:t xml:space="preserve">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path/>
              <v:fill on="f" focussize="0,0"/>
              <v:stroke on="f"/>
              <v:imagedata o:title=""/>
              <o:lock v:ext="edit" aspectratio="f"/>
              <v:textbox inset="0mm,0mm,0mm,0mm" style="mso-fit-shape-to-text:t;">
                <w:txbxContent>
                  <w:p>
                    <w:pPr>
                      <w:pStyle w:val="2"/>
                      <w:ind w:left="320" w:leftChars="100" w:right="320" w:rightChars="100"/>
                    </w:pPr>
                    <w:r>
                      <w:rPr>
                        <w:rStyle w:val="5"/>
                        <w:rFonts w:hint="eastAsia"/>
                        <w:sz w:val="28"/>
                      </w:rPr>
                      <w:t xml:space="preserve">— </w:t>
                    </w:r>
                    <w:r>
                      <w:rPr>
                        <w:rFonts w:hint="eastAsia"/>
                        <w:sz w:val="28"/>
                      </w:rPr>
                      <w:fldChar w:fldCharType="begin"/>
                    </w:r>
                    <w:r>
                      <w:rPr>
                        <w:rStyle w:val="5"/>
                        <w:rFonts w:hint="eastAsia"/>
                        <w:sz w:val="28"/>
                      </w:rPr>
                      <w:instrText xml:space="preserve"> PAGE  </w:instrText>
                    </w:r>
                    <w:r>
                      <w:rPr>
                        <w:rFonts w:hint="eastAsia"/>
                        <w:sz w:val="28"/>
                      </w:rPr>
                      <w:fldChar w:fldCharType="separate"/>
                    </w:r>
                    <w:r>
                      <w:rPr>
                        <w:rStyle w:val="5"/>
                        <w:sz w:val="28"/>
                      </w:rPr>
                      <w:t>7</w:t>
                    </w:r>
                    <w:r>
                      <w:rPr>
                        <w:rFonts w:hint="eastAsia"/>
                        <w:sz w:val="28"/>
                      </w:rPr>
                      <w:fldChar w:fldCharType="end"/>
                    </w:r>
                    <w:r>
                      <w:rPr>
                        <w:rStyle w:val="5"/>
                        <w:rFonts w:hint="eastAsia"/>
                        <w:sz w:val="28"/>
                      </w:rPr>
                      <w:t xml:space="preserve"> —</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F038D1"/>
    <w:rsid w:val="17F03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_GB2312" w:cs="宋体"/>
      <w:color w:val="000000"/>
      <w:kern w:val="2"/>
      <w:sz w:val="32"/>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eastAsia="宋体" w:cs="Times New Roman"/>
      <w:color w:val="auto"/>
      <w:kern w:val="0"/>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rFonts w:ascii="Times New Roman" w:hAnsi="Times New Roman" w:eastAsia="宋体" w:cs="Times New Roman"/>
      <w:color w:val="auto"/>
      <w:kern w:val="0"/>
      <w:sz w:val="18"/>
      <w:szCs w:val="18"/>
    </w:rPr>
  </w:style>
  <w:style w:type="character" w:styleId="5">
    <w:name w:val="page number"/>
    <w:basedOn w:val="4"/>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2018-12-19T07:26:00Z</dcterms:created>
  <dc:creator>半点</dc:creator>
  <cp:lastModifiedBy>半点</cp:lastModifiedBy>
  <dcterms:modified xsi:type="dcterms:W3CDTF">2018-12-19T07:26:38Z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