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ascii="楷体_GB2312" w:hAnsi="黑体" w:eastAsia="楷体_GB2312"/>
          <w:sz w:val="32"/>
          <w:szCs w:val="32"/>
        </w:rPr>
      </w:pPr>
      <w:r>
        <w:rPr>
          <w:rFonts w:hint="eastAsia" w:ascii="楷体_GB2312" w:hAnsi="黑体" w:eastAsia="楷体_GB2312"/>
          <w:sz w:val="32"/>
          <w:szCs w:val="32"/>
        </w:rPr>
        <w:t>附件1：</w:t>
      </w:r>
    </w:p>
    <w:p>
      <w:pPr>
        <w:jc w:val="left"/>
        <w:rPr>
          <w:rFonts w:ascii="楷体_GB2312" w:hAnsi="黑体" w:eastAsia="楷体_GB2312"/>
          <w:sz w:val="32"/>
          <w:szCs w:val="32"/>
        </w:rPr>
      </w:pPr>
    </w:p>
    <w:p>
      <w:pPr>
        <w:ind w:firstLine="645"/>
        <w:jc w:val="center"/>
        <w:rPr>
          <w:rFonts w:ascii="黑体" w:hAnsi="黑体" w:eastAsia="黑体"/>
          <w:sz w:val="32"/>
          <w:szCs w:val="32"/>
        </w:rPr>
      </w:pPr>
      <w:r>
        <w:rPr>
          <w:rFonts w:hint="eastAsia" w:ascii="黑体" w:hAnsi="黑体" w:eastAsia="黑体"/>
          <w:sz w:val="32"/>
          <w:szCs w:val="32"/>
        </w:rPr>
        <w:t>废止的文件目录</w:t>
      </w:r>
    </w:p>
    <w:tbl>
      <w:tblPr>
        <w:tblStyle w:val="3"/>
        <w:tblW w:w="9073" w:type="dxa"/>
        <w:tblInd w:w="-318" w:type="dxa"/>
        <w:tblLayout w:type="fixed"/>
        <w:tblCellMar>
          <w:top w:w="0" w:type="dxa"/>
          <w:left w:w="108" w:type="dxa"/>
          <w:bottom w:w="0" w:type="dxa"/>
          <w:right w:w="108" w:type="dxa"/>
        </w:tblCellMar>
      </w:tblPr>
      <w:tblGrid>
        <w:gridCol w:w="852"/>
        <w:gridCol w:w="2268"/>
        <w:gridCol w:w="5953"/>
      </w:tblGrid>
      <w:tr>
        <w:tblPrEx>
          <w:tblLayout w:type="fixed"/>
          <w:tblCellMar>
            <w:top w:w="0" w:type="dxa"/>
            <w:left w:w="108" w:type="dxa"/>
            <w:bottom w:w="0" w:type="dxa"/>
            <w:right w:w="108" w:type="dxa"/>
          </w:tblCellMar>
        </w:tblPrEx>
        <w:trPr>
          <w:trHeight w:val="1151"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楷体_GB2312" w:hAnsi="宋体" w:eastAsia="楷体_GB2312" w:cs="宋体"/>
                <w:kern w:val="0"/>
                <w:sz w:val="30"/>
                <w:szCs w:val="30"/>
              </w:rPr>
            </w:pPr>
            <w:r>
              <w:rPr>
                <w:rFonts w:hint="eastAsia" w:ascii="楷体_GB2312" w:hAnsi="宋体" w:eastAsia="楷体_GB2312" w:cs="宋体"/>
                <w:kern w:val="0"/>
                <w:sz w:val="30"/>
                <w:szCs w:val="30"/>
              </w:rPr>
              <w:t>序号</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30"/>
                <w:szCs w:val="30"/>
              </w:rPr>
            </w:pPr>
            <w:r>
              <w:rPr>
                <w:rFonts w:hint="eastAsia" w:ascii="楷体_GB2312" w:hAnsi="宋体" w:eastAsia="楷体_GB2312" w:cs="宋体"/>
                <w:kern w:val="0"/>
                <w:sz w:val="30"/>
                <w:szCs w:val="30"/>
              </w:rPr>
              <w:t>文 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楷体_GB2312" w:hAnsi="宋体" w:eastAsia="楷体_GB2312" w:cs="宋体"/>
                <w:kern w:val="0"/>
                <w:sz w:val="30"/>
                <w:szCs w:val="30"/>
              </w:rPr>
            </w:pPr>
            <w:r>
              <w:rPr>
                <w:rFonts w:hint="eastAsia" w:ascii="楷体_GB2312" w:hAnsi="宋体" w:eastAsia="楷体_GB2312" w:cs="宋体"/>
                <w:kern w:val="0"/>
                <w:sz w:val="30"/>
                <w:szCs w:val="30"/>
              </w:rPr>
              <w:t>文件名称</w:t>
            </w:r>
          </w:p>
        </w:tc>
      </w:tr>
      <w:tr>
        <w:tblPrEx>
          <w:tblLayout w:type="fixed"/>
          <w:tblCellMar>
            <w:top w:w="0" w:type="dxa"/>
            <w:left w:w="108" w:type="dxa"/>
            <w:bottom w:w="0" w:type="dxa"/>
            <w:right w:w="108" w:type="dxa"/>
          </w:tblCellMar>
        </w:tblPrEx>
        <w:trPr>
          <w:trHeight w:val="1463"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汕住建通〔2013〕15号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关于继续受理施工企业诚信数据入库的通知</w:t>
            </w:r>
          </w:p>
        </w:tc>
      </w:tr>
      <w:tr>
        <w:tblPrEx>
          <w:tblLayout w:type="fixed"/>
          <w:tblCellMar>
            <w:top w:w="0" w:type="dxa"/>
            <w:left w:w="108" w:type="dxa"/>
            <w:bottom w:w="0" w:type="dxa"/>
            <w:right w:w="108" w:type="dxa"/>
          </w:tblCellMar>
        </w:tblPrEx>
        <w:trPr>
          <w:trHeight w:val="1066"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2</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汕住建通〔2013〕66号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关于明确施工企业诚信综合评价工作有关问题的通知</w:t>
            </w:r>
          </w:p>
        </w:tc>
      </w:tr>
      <w:tr>
        <w:tblPrEx>
          <w:tblLayout w:type="fixed"/>
          <w:tblCellMar>
            <w:top w:w="0" w:type="dxa"/>
            <w:left w:w="108" w:type="dxa"/>
            <w:bottom w:w="0" w:type="dxa"/>
            <w:right w:w="108" w:type="dxa"/>
          </w:tblCellMar>
        </w:tblPrEx>
        <w:trPr>
          <w:trHeight w:val="887"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3</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汕住建函〔2016〕61号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关于定期提交专家参加评标活动情况的函</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4</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汕府建〔1997〕196号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关于印发《汕头市散装水泥中转经营企业管理（暂行）办法》的通知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5</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汕府建﹝2001﹞157号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关于建筑修缮工程劳保费用计算规定的通知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6</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汕府建﹝2001﹞167号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关于工程竣工验收结算后缴交劳保费有关问题的通知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7</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汕府建﹝2003﹞110号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关于调整工程定额测定费收取办法的通知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8</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汕府建﹝2003﹞95号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关于我市执行省建设工程综合定额有关管理费类别标准的通知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9</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汕府建﹝2005﹞22号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关于调整工程造价收费标准的通知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10</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汕府建通﹝2011﹞51号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关于我市建设工程造价增计价格调节基金的通知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11</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汕府建通﹝2011﹞201号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转发省住建厅关于转发省物价局关于调整我省建设工程造价咨询服务收费的复函的通知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12</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汕府建﹝2008﹞77号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关于调整建设工程项目计费造价基数的通知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13</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汕府建﹝2009﹞46号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关于转发省建设厅《转发住房和城乡建设部关于进一步加强工程造价（定额）管理工作的意见》的通知</w:t>
            </w:r>
          </w:p>
        </w:tc>
      </w:tr>
      <w:tr>
        <w:tblPrEx>
          <w:tblLayout w:type="fixed"/>
          <w:tblCellMar>
            <w:top w:w="0" w:type="dxa"/>
            <w:left w:w="108" w:type="dxa"/>
            <w:bottom w:w="0" w:type="dxa"/>
            <w:right w:w="108" w:type="dxa"/>
          </w:tblCellMar>
        </w:tblPrEx>
        <w:trPr>
          <w:trHeight w:val="1134" w:hRule="atLeast"/>
        </w:trPr>
        <w:tc>
          <w:tcPr>
            <w:tcW w:w="852" w:type="dxa"/>
            <w:tcBorders>
              <w:top w:val="single" w:color="auto" w:sz="4" w:space="0"/>
              <w:left w:val="single" w:color="auto" w:sz="4" w:space="0"/>
              <w:bottom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14</w:t>
            </w:r>
          </w:p>
        </w:tc>
        <w:tc>
          <w:tcPr>
            <w:tcW w:w="226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汕府建通﹝2011﹞266号</w:t>
            </w:r>
          </w:p>
        </w:tc>
        <w:tc>
          <w:tcPr>
            <w:tcW w:w="5953" w:type="dxa"/>
            <w:tcBorders>
              <w:top w:val="single" w:color="auto" w:sz="4" w:space="0"/>
              <w:left w:val="nil"/>
              <w:bottom w:val="single" w:color="auto" w:sz="4" w:space="0"/>
              <w:right w:val="single" w:color="auto" w:sz="4" w:space="0"/>
            </w:tcBorders>
            <w:shd w:val="clear" w:color="auto" w:fill="auto"/>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关于做好我市建设工程招标控制价和施工合同价备案管理工作的通知</w:t>
            </w:r>
          </w:p>
        </w:tc>
      </w:tr>
    </w:tbl>
    <w:p>
      <w:pPr>
        <w:ind w:firstLine="645"/>
        <w:rPr>
          <w:rFonts w:ascii="仿宋" w:hAnsi="仿宋" w:eastAsia="仿宋"/>
          <w:sz w:val="32"/>
          <w:szCs w:val="32"/>
        </w:rPr>
      </w:pPr>
    </w:p>
    <w:p>
      <w:pPr>
        <w:ind w:firstLine="645"/>
        <w:rPr>
          <w:rFonts w:ascii="仿宋" w:hAnsi="仿宋" w:eastAsia="仿宋"/>
          <w:sz w:val="32"/>
          <w:szCs w:val="32"/>
        </w:rPr>
      </w:pPr>
    </w:p>
    <w:p>
      <w:pPr>
        <w:ind w:firstLine="645"/>
        <w:rPr>
          <w:rFonts w:ascii="仿宋" w:hAnsi="仿宋" w:eastAsia="仿宋"/>
          <w:sz w:val="32"/>
          <w:szCs w:val="32"/>
        </w:rPr>
      </w:pPr>
    </w:p>
    <w:p>
      <w:pPr>
        <w:ind w:firstLine="645"/>
        <w:rPr>
          <w:rFonts w:ascii="仿宋" w:hAnsi="仿宋" w:eastAsia="仿宋"/>
          <w:sz w:val="32"/>
          <w:szCs w:val="32"/>
        </w:rPr>
      </w:pPr>
    </w:p>
    <w:p>
      <w:pPr>
        <w:ind w:firstLine="645"/>
        <w:rPr>
          <w:rFonts w:ascii="仿宋" w:hAnsi="仿宋" w:eastAsia="仿宋"/>
          <w:sz w:val="32"/>
          <w:szCs w:val="32"/>
        </w:rPr>
      </w:pPr>
    </w:p>
    <w:p>
      <w:pPr>
        <w:ind w:firstLine="645"/>
        <w:rPr>
          <w:rFonts w:ascii="仿宋" w:hAnsi="仿宋" w:eastAsia="仿宋"/>
          <w:sz w:val="32"/>
          <w:szCs w:val="32"/>
        </w:rPr>
      </w:pPr>
    </w:p>
    <w:p>
      <w:pPr>
        <w:ind w:firstLine="645"/>
        <w:rPr>
          <w:rFonts w:ascii="仿宋" w:hAnsi="仿宋" w:eastAsia="仿宋"/>
          <w:sz w:val="32"/>
          <w:szCs w:val="32"/>
        </w:rPr>
      </w:pPr>
    </w:p>
    <w:p>
      <w:pPr>
        <w:ind w:firstLine="645"/>
        <w:rPr>
          <w:rFonts w:ascii="仿宋" w:hAnsi="仿宋" w:eastAsia="仿宋"/>
          <w:sz w:val="32"/>
          <w:szCs w:val="32"/>
        </w:rPr>
      </w:pPr>
    </w:p>
    <w:p>
      <w:pPr>
        <w:jc w:val="left"/>
        <w:rPr>
          <w:rFonts w:ascii="仿宋" w:hAnsi="仿宋" w:eastAsia="仿宋"/>
          <w:sz w:val="32"/>
          <w:szCs w:val="32"/>
        </w:rPr>
      </w:pPr>
    </w:p>
    <w:p>
      <w:pPr>
        <w:jc w:val="left"/>
        <w:rPr>
          <w:rFonts w:ascii="楷体_GB2312" w:hAnsi="仿宋" w:eastAsia="楷体_GB2312"/>
          <w:sz w:val="32"/>
          <w:szCs w:val="32"/>
        </w:rPr>
      </w:pPr>
      <w:r>
        <w:rPr>
          <w:rFonts w:hint="eastAsia" w:ascii="楷体_GB2312" w:hAnsi="黑体" w:eastAsia="楷体_GB2312"/>
          <w:sz w:val="32"/>
          <w:szCs w:val="32"/>
        </w:rPr>
        <w:t>附件2：</w:t>
      </w:r>
    </w:p>
    <w:p>
      <w:pPr>
        <w:ind w:firstLine="645"/>
        <w:jc w:val="center"/>
        <w:rPr>
          <w:rFonts w:ascii="黑体" w:hAnsi="黑体" w:eastAsia="黑体"/>
          <w:sz w:val="32"/>
          <w:szCs w:val="32"/>
        </w:rPr>
      </w:pPr>
    </w:p>
    <w:p>
      <w:pPr>
        <w:ind w:firstLine="645"/>
        <w:jc w:val="center"/>
        <w:rPr>
          <w:rFonts w:ascii="黑体" w:hAnsi="黑体" w:eastAsia="黑体"/>
          <w:sz w:val="32"/>
          <w:szCs w:val="32"/>
        </w:rPr>
      </w:pPr>
      <w:r>
        <w:rPr>
          <w:rFonts w:hint="eastAsia" w:ascii="黑体" w:hAnsi="黑体" w:eastAsia="黑体"/>
          <w:sz w:val="32"/>
          <w:szCs w:val="32"/>
        </w:rPr>
        <w:t>失效的文件目录</w:t>
      </w:r>
    </w:p>
    <w:tbl>
      <w:tblPr>
        <w:tblStyle w:val="4"/>
        <w:tblW w:w="9357" w:type="dxa"/>
        <w:tblInd w:w="-31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993"/>
        <w:gridCol w:w="2552"/>
        <w:gridCol w:w="5812"/>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93" w:type="dxa"/>
          </w:tcPr>
          <w:p>
            <w:pPr>
              <w:jc w:val="center"/>
              <w:rPr>
                <w:rFonts w:ascii="楷体_GB2312" w:hAnsi="仿宋" w:eastAsia="楷体_GB2312"/>
                <w:sz w:val="28"/>
                <w:szCs w:val="28"/>
              </w:rPr>
            </w:pPr>
            <w:r>
              <w:rPr>
                <w:rFonts w:hint="eastAsia" w:ascii="楷体_GB2312" w:hAnsi="仿宋" w:eastAsia="楷体_GB2312"/>
                <w:sz w:val="28"/>
                <w:szCs w:val="28"/>
              </w:rPr>
              <w:t>序号</w:t>
            </w:r>
          </w:p>
        </w:tc>
        <w:tc>
          <w:tcPr>
            <w:tcW w:w="2552" w:type="dxa"/>
          </w:tcPr>
          <w:p>
            <w:pPr>
              <w:jc w:val="center"/>
              <w:rPr>
                <w:rFonts w:ascii="楷体_GB2312" w:hAnsi="仿宋" w:eastAsia="楷体_GB2312"/>
                <w:sz w:val="28"/>
                <w:szCs w:val="28"/>
              </w:rPr>
            </w:pPr>
            <w:r>
              <w:rPr>
                <w:rFonts w:hint="eastAsia" w:ascii="楷体_GB2312" w:hAnsi="仿宋" w:eastAsia="楷体_GB2312"/>
                <w:sz w:val="28"/>
                <w:szCs w:val="28"/>
              </w:rPr>
              <w:t>文号</w:t>
            </w:r>
          </w:p>
        </w:tc>
        <w:tc>
          <w:tcPr>
            <w:tcW w:w="5812" w:type="dxa"/>
          </w:tcPr>
          <w:p>
            <w:pPr>
              <w:jc w:val="center"/>
              <w:rPr>
                <w:rFonts w:ascii="楷体_GB2312" w:hAnsi="仿宋" w:eastAsia="楷体_GB2312"/>
                <w:sz w:val="28"/>
                <w:szCs w:val="28"/>
              </w:rPr>
            </w:pPr>
            <w:r>
              <w:rPr>
                <w:rFonts w:hint="eastAsia" w:ascii="楷体_GB2312" w:hAnsi="仿宋" w:eastAsia="楷体_GB2312"/>
                <w:sz w:val="28"/>
                <w:szCs w:val="28"/>
              </w:rPr>
              <w:t>文件名称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93" w:type="dxa"/>
            <w:vAlign w:val="center"/>
          </w:tcPr>
          <w:p>
            <w:pPr>
              <w:jc w:val="center"/>
              <w:rPr>
                <w:rFonts w:ascii="仿宋" w:hAnsi="仿宋" w:eastAsia="仿宋"/>
                <w:sz w:val="28"/>
                <w:szCs w:val="28"/>
              </w:rPr>
            </w:pPr>
            <w:r>
              <w:rPr>
                <w:rFonts w:hint="eastAsia" w:ascii="仿宋" w:hAnsi="仿宋" w:eastAsia="仿宋"/>
                <w:sz w:val="28"/>
                <w:szCs w:val="28"/>
              </w:rPr>
              <w:t>1</w:t>
            </w:r>
          </w:p>
        </w:tc>
        <w:tc>
          <w:tcPr>
            <w:tcW w:w="2552" w:type="dxa"/>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汕住建通〔2014〕186号</w:t>
            </w:r>
          </w:p>
        </w:tc>
        <w:tc>
          <w:tcPr>
            <w:tcW w:w="5812" w:type="dxa"/>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转发关于做好集中开展“八打八治”打非治违专项行动信息统计和报送工作的通知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93" w:type="dxa"/>
            <w:vAlign w:val="center"/>
          </w:tcPr>
          <w:p>
            <w:pPr>
              <w:jc w:val="center"/>
              <w:rPr>
                <w:rFonts w:ascii="仿宋" w:hAnsi="仿宋" w:eastAsia="仿宋"/>
                <w:sz w:val="28"/>
                <w:szCs w:val="28"/>
              </w:rPr>
            </w:pPr>
            <w:r>
              <w:rPr>
                <w:rFonts w:hint="eastAsia" w:ascii="仿宋" w:hAnsi="仿宋" w:eastAsia="仿宋"/>
                <w:sz w:val="28"/>
                <w:szCs w:val="28"/>
              </w:rPr>
              <w:t>2</w:t>
            </w:r>
          </w:p>
        </w:tc>
        <w:tc>
          <w:tcPr>
            <w:tcW w:w="2552" w:type="dxa"/>
            <w:vAlign w:val="center"/>
          </w:tcPr>
          <w:p>
            <w:pPr>
              <w:widowControl/>
              <w:jc w:val="center"/>
              <w:rPr>
                <w:rFonts w:ascii="仿宋" w:hAnsi="仿宋" w:eastAsia="仿宋" w:cs="宋体"/>
                <w:kern w:val="0"/>
                <w:sz w:val="28"/>
                <w:szCs w:val="28"/>
              </w:rPr>
            </w:pPr>
            <w:r>
              <w:rPr>
                <w:rFonts w:hint="eastAsia" w:ascii="仿宋" w:hAnsi="仿宋" w:eastAsia="仿宋" w:cs="宋体"/>
                <w:kern w:val="0"/>
                <w:sz w:val="28"/>
                <w:szCs w:val="28"/>
              </w:rPr>
              <w:t>汕住建通〔2015〕252号</w:t>
            </w:r>
          </w:p>
        </w:tc>
        <w:tc>
          <w:tcPr>
            <w:tcW w:w="5812" w:type="dxa"/>
            <w:vAlign w:val="center"/>
          </w:tcPr>
          <w:p>
            <w:pPr>
              <w:widowControl/>
              <w:jc w:val="left"/>
              <w:rPr>
                <w:rFonts w:ascii="仿宋" w:hAnsi="仿宋" w:eastAsia="仿宋" w:cs="宋体"/>
                <w:kern w:val="0"/>
                <w:sz w:val="28"/>
                <w:szCs w:val="28"/>
              </w:rPr>
            </w:pPr>
            <w:r>
              <w:rPr>
                <w:rFonts w:hint="eastAsia" w:ascii="仿宋" w:hAnsi="仿宋" w:eastAsia="仿宋" w:cs="宋体"/>
                <w:kern w:val="0"/>
                <w:sz w:val="28"/>
                <w:szCs w:val="28"/>
              </w:rPr>
              <w:t>转发广东省住房和城乡建设厅《关于印发房屋建筑和市政基础设施施工招标投标专项治理工作实施方案》的通知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c>
          <w:tcPr>
            <w:tcW w:w="993" w:type="dxa"/>
            <w:vAlign w:val="center"/>
          </w:tcPr>
          <w:p>
            <w:pPr>
              <w:jc w:val="center"/>
              <w:rPr>
                <w:rFonts w:ascii="仿宋" w:hAnsi="仿宋" w:eastAsia="仿宋"/>
                <w:sz w:val="28"/>
                <w:szCs w:val="28"/>
              </w:rPr>
            </w:pPr>
            <w:r>
              <w:rPr>
                <w:rFonts w:hint="eastAsia" w:ascii="仿宋" w:hAnsi="仿宋" w:eastAsia="仿宋"/>
                <w:sz w:val="28"/>
                <w:szCs w:val="28"/>
              </w:rPr>
              <w:t>3</w:t>
            </w:r>
          </w:p>
        </w:tc>
        <w:tc>
          <w:tcPr>
            <w:tcW w:w="2552" w:type="dxa"/>
          </w:tcPr>
          <w:p>
            <w:pPr>
              <w:jc w:val="center"/>
              <w:rPr>
                <w:rFonts w:ascii="仿宋" w:hAnsi="仿宋" w:eastAsia="仿宋"/>
                <w:sz w:val="28"/>
                <w:szCs w:val="28"/>
              </w:rPr>
            </w:pPr>
            <w:r>
              <w:rPr>
                <w:rFonts w:hint="eastAsia" w:ascii="仿宋" w:hAnsi="仿宋" w:eastAsia="仿宋"/>
                <w:sz w:val="28"/>
                <w:szCs w:val="28"/>
              </w:rPr>
              <w:t>汕府建通〔2002〕24号</w:t>
            </w:r>
          </w:p>
        </w:tc>
        <w:tc>
          <w:tcPr>
            <w:tcW w:w="5812" w:type="dxa"/>
          </w:tcPr>
          <w:p>
            <w:pPr>
              <w:jc w:val="left"/>
              <w:rPr>
                <w:rFonts w:ascii="仿宋" w:hAnsi="仿宋" w:eastAsia="仿宋"/>
                <w:sz w:val="28"/>
                <w:szCs w:val="28"/>
              </w:rPr>
            </w:pPr>
            <w:r>
              <w:rPr>
                <w:rFonts w:hint="eastAsia" w:ascii="仿宋" w:hAnsi="仿宋" w:eastAsia="仿宋"/>
                <w:sz w:val="28"/>
                <w:szCs w:val="28"/>
              </w:rPr>
              <w:t>关于统一印制、使用工程技术资料用表及工程档案装具的通知</w:t>
            </w:r>
          </w:p>
        </w:tc>
      </w:tr>
    </w:tbl>
    <w:p>
      <w:pPr>
        <w:ind w:firstLine="645"/>
        <w:rPr>
          <w:rFonts w:ascii="仿宋" w:hAnsi="仿宋" w:eastAsia="仿宋"/>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Arial">
    <w:panose1 w:val="020B0604020202020204"/>
    <w:charset w:val="00"/>
    <w:family w:val="auto"/>
    <w:pitch w:val="default"/>
    <w:sig w:usb0="E0002A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公文小标宋简">
    <w:altName w:val="宋体"/>
    <w:panose1 w:val="02010609010101010101"/>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Verdana">
    <w:panose1 w:val="020B0604030504040204"/>
    <w:charset w:val="00"/>
    <w:family w:val="swiss"/>
    <w:pitch w:val="default"/>
    <w:sig w:usb0="A10006FF" w:usb1="4000205B" w:usb2="00000010"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E4278B0"/>
    <w:rsid w:val="1E4278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table" w:styleId="4">
    <w:name w:val="Table Grid"/>
    <w:basedOn w:val="3"/>
    <w:uiPriority w:val="0"/>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Office_10.1.0.7023_F1E327BC-269C-435d-A152-05C5408002CA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2017-12-22T02:06:00Z</dcterms:created>
  <dc:creator>半点</dc:creator>
  <cp:lastModifiedBy>半点</cp:lastModifiedBy>
  <dcterms:modified xsi:type="dcterms:W3CDTF">2017-12-22T02:06:53Z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2052-10.1.0.7023</vt:lpwstr>
  </property>
</Properties>
</file>