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200" w:lineRule="exact"/>
        <w:ind w:left="-178" w:leftChars="-85" w:right="-512" w:rightChars="-244" w:firstLine="184" w:firstLineChars="32"/>
        <w:rPr>
          <w:b/>
          <w:color w:val="FF0000"/>
          <w:spacing w:val="-16"/>
          <w:w w:val="63"/>
          <w:sz w:val="96"/>
          <w:szCs w:val="96"/>
        </w:rPr>
      </w:pPr>
      <w:r>
        <w:rPr>
          <w:b/>
          <w:color w:val="FF0000"/>
          <w:spacing w:val="-16"/>
          <w:w w:val="63"/>
          <w:sz w:val="96"/>
          <w:szCs w:val="96"/>
        </w:rPr>
        <w:t>汕头市安全生产委员会办公室文件</w:t>
      </w:r>
    </w:p>
    <w:p>
      <w:pPr>
        <w:spacing w:line="600" w:lineRule="exact"/>
        <w:ind w:right="-334" w:rightChars="-159" w:firstLine="320" w:firstLineChars="100"/>
        <w:jc w:val="center"/>
        <w:rPr>
          <w:rFonts w:hint="eastAsia" w:eastAsia="仿宋_GB2312"/>
          <w:sz w:val="32"/>
          <w:szCs w:val="32"/>
        </w:rPr>
      </w:pPr>
    </w:p>
    <w:p>
      <w:pPr>
        <w:spacing w:line="600" w:lineRule="exact"/>
        <w:ind w:right="-334" w:rightChars="-159" w:firstLine="320" w:firstLineChars="100"/>
        <w:jc w:val="center"/>
        <w:rPr>
          <w:rFonts w:eastAsia="仿宋_GB2312"/>
          <w:sz w:val="32"/>
          <w:szCs w:val="32"/>
        </w:rPr>
      </w:pPr>
      <w:r>
        <w:rPr>
          <w:rFonts w:eastAsia="仿宋_GB2312"/>
          <w:sz w:val="32"/>
          <w:szCs w:val="32"/>
        </w:rPr>
        <w:t>汕安委办〔201</w:t>
      </w:r>
      <w:r>
        <w:rPr>
          <w:rFonts w:hint="eastAsia" w:eastAsia="仿宋_GB2312"/>
          <w:sz w:val="32"/>
          <w:szCs w:val="32"/>
        </w:rPr>
        <w:t>7</w:t>
      </w:r>
      <w:r>
        <w:rPr>
          <w:rFonts w:eastAsia="仿宋_GB2312"/>
          <w:sz w:val="32"/>
          <w:szCs w:val="32"/>
        </w:rPr>
        <w:t>〕</w:t>
      </w:r>
      <w:r>
        <w:rPr>
          <w:rFonts w:hint="eastAsia" w:eastAsia="仿宋_GB2312"/>
          <w:sz w:val="32"/>
          <w:szCs w:val="32"/>
        </w:rPr>
        <w:t>168</w:t>
      </w:r>
      <w:r>
        <w:rPr>
          <w:rFonts w:eastAsia="仿宋_GB2312"/>
          <w:sz w:val="32"/>
          <w:szCs w:val="32"/>
        </w:rPr>
        <w:t>号</w:t>
      </w:r>
    </w:p>
    <w:p>
      <w:pPr>
        <w:spacing w:line="500" w:lineRule="exact"/>
        <w:rPr>
          <w:rFonts w:hint="eastAsia"/>
        </w:rPr>
      </w:pPr>
      <w:bookmarkStart w:id="0" w:name="_GoBack"/>
      <w:r>
        <mc:AlternateContent>
          <mc:Choice Requires="wps">
            <w:drawing>
              <wp:anchor distT="0" distB="0" distL="114300" distR="114300" simplePos="0" relativeHeight="251658240" behindDoc="0" locked="0" layoutInCell="1" allowOverlap="1">
                <wp:simplePos x="0" y="0"/>
                <wp:positionH relativeFrom="column">
                  <wp:posOffset>-114300</wp:posOffset>
                </wp:positionH>
                <wp:positionV relativeFrom="paragraph">
                  <wp:posOffset>48895</wp:posOffset>
                </wp:positionV>
                <wp:extent cx="5715000" cy="0"/>
                <wp:effectExtent l="0" t="15875" r="0" b="22225"/>
                <wp:wrapNone/>
                <wp:docPr id="1" name="直线 2"/>
                <wp:cNvGraphicFramePr/>
                <a:graphic xmlns:a="http://schemas.openxmlformats.org/drawingml/2006/main">
                  <a:graphicData uri="http://schemas.microsoft.com/office/word/2010/wordprocessingShape">
                    <wps:wsp>
                      <wps:cNvSpPr/>
                      <wps:spPr>
                        <a:xfrm>
                          <a:off x="0" y="0"/>
                          <a:ext cx="5715000" cy="0"/>
                        </a:xfrm>
                        <a:prstGeom prst="line">
                          <a:avLst/>
                        </a:prstGeom>
                        <a:ln w="31750" cap="flat" cmpd="sng">
                          <a:solidFill>
                            <a:srgbClr val="FF0000"/>
                          </a:solidFill>
                          <a:prstDash val="solid"/>
                          <a:headEnd type="none" w="med" len="med"/>
                          <a:tailEnd type="none" w="med" len="med"/>
                        </a:ln>
                      </wps:spPr>
                      <wps:bodyPr upright="1"/>
                    </wps:wsp>
                  </a:graphicData>
                </a:graphic>
              </wp:anchor>
            </w:drawing>
          </mc:Choice>
          <mc:Fallback>
            <w:pict>
              <v:line id="直线 2" o:spid="_x0000_s1026" o:spt="20" style="position:absolute;left:0pt;margin-left:-9pt;margin-top:3.85pt;height:0pt;width:450pt;z-index:251658240;mso-width-relative:page;mso-height-relative:page;" filled="f" stroked="t" coordsize="21600,21600" o:gfxdata="UEsDBAoAAAAAAIdO4kAAAAAAAAAAAAAAAAAEAAAAZHJzL1BLAwQUAAAACACHTuJA5b9Qq9YAAAAH&#10;AQAADwAAAGRycy9kb3ducmV2LnhtbE2PTUvDQBCG74L/YRnBi7Sb5NCGmE0pgiDkINYeepxkxySY&#10;nQ3Z7Yf99Y5e9PjwDu/7TLm5uFGdaA6DZwPpMgFF3Ho7cGdg//68yEGFiGxx9EwGvijAprq9KbGw&#10;/sxvdNrFTkkJhwIN9DFOhdah7clhWPqJWLIPPzuMgnOn7YxnKXejzpJkpR0OLAs9TvTUU/u5OzoD&#10;D3hYbfOQZta/1s31xdX767Y25v4uTR5BRbrEv2P40Rd1qMSp8Ue2QY0GFmkuv0QD6zUoyfM8E25+&#10;WVel/u9ffQNQSwMEFAAAAAgAh07iQLkST+DNAQAAjgMAAA4AAABkcnMvZTJvRG9jLnhtbK1TS44T&#10;MRDdI3EHy3vSnaAwqJXOLAhhg2CkgQNU/Om25J9cnnRyFq7Big3HmWtQdjIZYDYjxMZdtp9f1XtV&#10;vbo+OMv2KqEJvufzWcuZ8iJI44eef/2yffWWM8zgJdjgVc+PCvn1+uWL1RQ7tQhjsFIlRiQeuyn2&#10;fMw5dk2DYlQOcBai8nSpQ3KQaZuGRiaYiN3ZZtG2b5opJBlTEAqRTjenS76u/ForkT9rjSoz23Oq&#10;Ldc11XVX1ma9gm5IEEcjzmXAP1ThwHhKeqHaQAZ2l8wTKmdEChh0nongmqC1EapqIDXz9i81tyNE&#10;VbWQORgvNuH/oxWf9jeJGUm948yDoxbdf/t+/+MnWxRvpogdQW7jTTrvkMIi9KCTK1+SwA7Vz+PF&#10;T3XITNDh8mq+bFuyXTzcNY8PY8L8QQXHStBza3yRCh3sP2KmZAR9gJRj69nU89fzq2XhAxoVbSFT&#10;6CIVj36ojzFYI7fG2vIE07B7ZxPbAzV/u6VKar+J+A9YybIBHE+4enUai1GBfO8ly8dItniaX15q&#10;cEpyZhWNe4nqAGUw9jlISm09SSu2nows0S7IIzXhLiYzjGTFvJBWDDW9GnEe0DJVv+8r6vE3Wv8C&#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5b9Qq9YAAAAHAQAADwAAAAAAAAABACAAAAAiAAAAZHJz&#10;L2Rvd25yZXYueG1sUEsBAhQAFAAAAAgAh07iQLkST+DNAQAAjgMAAA4AAAAAAAAAAQAgAAAAJQEA&#10;AGRycy9lMm9Eb2MueG1sUEsFBgAAAAAGAAYAWQEAAGQFAAAAAA==&#10;">
                <v:path arrowok="t"/>
                <v:fill on="f" focussize="0,0"/>
                <v:stroke weight="2.5pt" color="#FF0000"/>
                <v:imagedata o:title=""/>
                <o:lock v:ext="edit"/>
              </v:line>
            </w:pict>
          </mc:Fallback>
        </mc:AlternateContent>
      </w:r>
      <w:bookmarkEnd w:id="0"/>
    </w:p>
    <w:p>
      <w:pPr>
        <w:spacing w:line="560" w:lineRule="exact"/>
        <w:jc w:val="center"/>
        <w:rPr>
          <w:rFonts w:hint="eastAsia" w:ascii="方正小标宋简体" w:eastAsia="方正小标宋简体"/>
          <w:sz w:val="36"/>
          <w:szCs w:val="36"/>
        </w:rPr>
      </w:pPr>
      <w:r>
        <w:rPr>
          <w:rFonts w:hint="eastAsia" w:ascii="方正小标宋简体" w:eastAsia="方正小标宋简体"/>
          <w:sz w:val="36"/>
          <w:szCs w:val="36"/>
        </w:rPr>
        <w:t>汕头市安委办转发《广东省安全生产委员会办公室</w:t>
      </w:r>
    </w:p>
    <w:p>
      <w:pPr>
        <w:spacing w:line="560" w:lineRule="exact"/>
        <w:jc w:val="center"/>
        <w:rPr>
          <w:rFonts w:hint="eastAsia" w:ascii="方正小标宋简体" w:eastAsia="方正小标宋简体"/>
          <w:sz w:val="36"/>
          <w:szCs w:val="36"/>
        </w:rPr>
      </w:pPr>
      <w:r>
        <w:rPr>
          <w:rFonts w:hint="eastAsia" w:ascii="方正小标宋简体" w:eastAsia="方正小标宋简体"/>
          <w:sz w:val="36"/>
          <w:szCs w:val="36"/>
        </w:rPr>
        <w:t>转发国务院安委会办公室关于全面加强企业全员</w:t>
      </w:r>
    </w:p>
    <w:p>
      <w:pPr>
        <w:spacing w:line="560" w:lineRule="exact"/>
        <w:jc w:val="center"/>
        <w:rPr>
          <w:rFonts w:hint="eastAsia" w:ascii="方正小标宋简体" w:eastAsia="方正小标宋简体"/>
          <w:sz w:val="36"/>
          <w:szCs w:val="36"/>
        </w:rPr>
      </w:pPr>
      <w:r>
        <w:rPr>
          <w:rFonts w:hint="eastAsia" w:ascii="方正小标宋简体" w:eastAsia="方正小标宋简体"/>
          <w:sz w:val="36"/>
          <w:szCs w:val="36"/>
        </w:rPr>
        <w:t>安全生产责任制工作的通知》的通知</w:t>
      </w:r>
    </w:p>
    <w:p>
      <w:pPr>
        <w:spacing w:line="460" w:lineRule="exact"/>
        <w:jc w:val="center"/>
        <w:rPr>
          <w:rFonts w:hint="eastAsia" w:ascii="创艺简标宋" w:eastAsia="创艺简标宋"/>
          <w:sz w:val="44"/>
          <w:szCs w:val="44"/>
        </w:rPr>
      </w:pPr>
    </w:p>
    <w:p>
      <w:pPr>
        <w:spacing w:line="620" w:lineRule="exact"/>
        <w:jc w:val="left"/>
        <w:rPr>
          <w:rFonts w:hint="eastAsia" w:eastAsia="仿宋_GB2312"/>
          <w:sz w:val="32"/>
          <w:szCs w:val="32"/>
        </w:rPr>
      </w:pPr>
      <w:r>
        <w:rPr>
          <w:rFonts w:hint="eastAsia" w:eastAsia="仿宋_GB2312"/>
          <w:sz w:val="32"/>
          <w:szCs w:val="32"/>
        </w:rPr>
        <w:t>各区县人民政府，市安委会各成员单位：</w:t>
      </w:r>
    </w:p>
    <w:p>
      <w:pPr>
        <w:spacing w:line="620" w:lineRule="exact"/>
        <w:ind w:firstLine="640" w:firstLineChars="200"/>
        <w:jc w:val="left"/>
        <w:rPr>
          <w:rFonts w:hint="eastAsia" w:eastAsia="仿宋_GB2312"/>
          <w:sz w:val="32"/>
          <w:szCs w:val="32"/>
        </w:rPr>
      </w:pPr>
      <w:r>
        <w:rPr>
          <w:rFonts w:hint="eastAsia" w:eastAsia="仿宋_GB2312"/>
          <w:sz w:val="32"/>
          <w:szCs w:val="32"/>
        </w:rPr>
        <w:t>现将《广东省安全生产委员会办公室转发国务院安委会办公室关于全面加强企业全员安全生产责任制工作的通知》（粤安办〔2017〕171号，以下简称《通知》）转发给你们，并提出如下要求，请一并抓好贯彻落实。</w:t>
      </w:r>
    </w:p>
    <w:p>
      <w:pPr>
        <w:spacing w:line="620" w:lineRule="exact"/>
        <w:ind w:firstLine="640" w:firstLineChars="200"/>
        <w:jc w:val="left"/>
        <w:rPr>
          <w:rFonts w:hint="eastAsia" w:eastAsia="仿宋_GB2312"/>
          <w:sz w:val="32"/>
          <w:szCs w:val="32"/>
        </w:rPr>
      </w:pPr>
      <w:r>
        <w:rPr>
          <w:rFonts w:hint="eastAsia" w:ascii="黑体" w:hAnsi="黑体" w:eastAsia="黑体"/>
          <w:sz w:val="32"/>
          <w:szCs w:val="32"/>
        </w:rPr>
        <w:t>一、高度重视，加强领导，全面落实企业全员安全生产责任制。</w:t>
      </w:r>
      <w:r>
        <w:rPr>
          <w:rFonts w:hint="eastAsia" w:eastAsia="仿宋_GB2312"/>
          <w:sz w:val="32"/>
          <w:szCs w:val="32"/>
        </w:rPr>
        <w:t>落实企业全员安全生产责任制是深入贯彻《中共中央国务院关于推进安全生产领域改革发展的意见》（中发〔2016〕32号）的重要举措，也是全员参与企业安全管理的重要体现。各级各有关部门要高度重视，加强组织领导，切实按照分级负责、属地管理的原则和“管行业必须管安全、管业务必须管安全、管生产经营必须管安全”的要求，强力推进企业全员安全生产责任制的落实。</w:t>
      </w:r>
    </w:p>
    <w:p>
      <w:pPr>
        <w:spacing w:line="620" w:lineRule="exact"/>
        <w:ind w:firstLine="640" w:firstLineChars="200"/>
        <w:jc w:val="left"/>
        <w:rPr>
          <w:rFonts w:hint="eastAsia" w:eastAsia="仿宋_GB2312"/>
          <w:sz w:val="32"/>
          <w:szCs w:val="32"/>
        </w:rPr>
      </w:pPr>
      <w:r>
        <w:rPr>
          <w:rFonts w:hint="eastAsia" w:ascii="黑体" w:hAnsi="黑体" w:eastAsia="黑体"/>
          <w:sz w:val="32"/>
          <w:szCs w:val="32"/>
        </w:rPr>
        <w:t>二、强化监督，突出效果，加强企业全员安全生产责任制落实情况的执法检查。</w:t>
      </w:r>
      <w:r>
        <w:rPr>
          <w:rFonts w:hint="eastAsia" w:eastAsia="仿宋_GB2312"/>
          <w:sz w:val="32"/>
          <w:szCs w:val="32"/>
        </w:rPr>
        <w:t>负有安全生产监督管理职责的部门要按照《通知》的要求，督促企业建立健全全员安全生产责任制，把企业建立和落实全员安全生产责任制情况纳入年度执法计划和日常监督检查事项，及时组织开展专项执法检查，发现企业全员安全生产责任落实不到位要及时督促整改到位，对因全员安全生产责任不落实导致发生事故的企业，要依法依规从严处罚。</w:t>
      </w:r>
    </w:p>
    <w:p>
      <w:pPr>
        <w:spacing w:line="620" w:lineRule="exact"/>
        <w:ind w:firstLine="640" w:firstLineChars="200"/>
        <w:jc w:val="left"/>
        <w:rPr>
          <w:rFonts w:hint="eastAsia" w:eastAsia="仿宋_GB2312"/>
          <w:sz w:val="32"/>
          <w:szCs w:val="32"/>
        </w:rPr>
      </w:pPr>
      <w:r>
        <w:rPr>
          <w:rFonts w:hint="eastAsia" w:ascii="黑体" w:hAnsi="黑体" w:eastAsia="黑体"/>
          <w:sz w:val="32"/>
          <w:szCs w:val="32"/>
        </w:rPr>
        <w:t>三、统筹兼顾，做好衔接，将企业全员安全生产责任制融入双重预防体系建设。</w:t>
      </w:r>
      <w:r>
        <w:rPr>
          <w:rFonts w:hint="eastAsia" w:eastAsia="仿宋_GB2312"/>
          <w:sz w:val="32"/>
          <w:szCs w:val="32"/>
        </w:rPr>
        <w:t>各级各有关部门要从实际出发，把落实企业全员安全生产责任制融入到安全风险分级管控和隐患排查治理双重预防体系建设中，推动落实全员安全生产责任制和双重预防体系建设同部署、同推进，做到全员参与风险排查、全员参与分级管控、全员参与隐患治理。将落实企业全员安全生产责任制作为双重预防体系建设的关键环节和重要抓手，全面提升企业本质安全水平。</w:t>
      </w:r>
    </w:p>
    <w:p>
      <w:pPr>
        <w:spacing w:line="620" w:lineRule="exact"/>
        <w:ind w:firstLine="640" w:firstLineChars="200"/>
        <w:jc w:val="left"/>
        <w:rPr>
          <w:rFonts w:hint="eastAsia" w:eastAsia="仿宋_GB2312"/>
          <w:sz w:val="32"/>
          <w:szCs w:val="32"/>
        </w:rPr>
      </w:pPr>
      <w:r>
        <w:rPr>
          <w:rFonts w:hint="eastAsia" w:ascii="黑体" w:hAnsi="黑体" w:eastAsia="黑体"/>
          <w:sz w:val="32"/>
          <w:szCs w:val="32"/>
        </w:rPr>
        <w:t>四、注重宣传，树立典型，营造建立实施企业全员安全生产责任制的良好氛围。</w:t>
      </w:r>
      <w:r>
        <w:rPr>
          <w:rFonts w:hint="eastAsia" w:eastAsia="仿宋_GB2312"/>
          <w:sz w:val="32"/>
          <w:szCs w:val="32"/>
        </w:rPr>
        <w:t>各区县人民政府、市安委会各成员单位要积极做好指导协调，解决企业全员安全生产责任制落实中的突出问题，及时总结先进经验和典型做法，发挥典型企业的示范带动作用。要进一步拓展宣传思路，创新宣传方式，充分利用宣传标语、主流媒体、微博微信等多种载体，广泛开展社会宣传，营造人人关注安全、人人参与安全、人人监督安全的浓厚氛围。</w:t>
      </w:r>
      <w:r>
        <w:rPr>
          <w:rFonts w:hint="eastAsia" w:eastAsia="仿宋_GB2312"/>
          <w:sz w:val="32"/>
          <w:szCs w:val="32"/>
        </w:rPr>
        <w:br w:type="textWrapping"/>
      </w:r>
      <w:r>
        <w:rPr>
          <w:rFonts w:hint="eastAsia" w:eastAsia="仿宋_GB2312"/>
          <w:sz w:val="32"/>
          <w:szCs w:val="32"/>
        </w:rPr>
        <w:t>  </w:t>
      </w:r>
    </w:p>
    <w:p>
      <w:pPr>
        <w:spacing w:line="620" w:lineRule="exact"/>
        <w:ind w:left="1758" w:leftChars="380" w:hanging="960" w:hangingChars="300"/>
        <w:rPr>
          <w:rFonts w:hint="eastAsia" w:eastAsia="仿宋_GB2312"/>
          <w:sz w:val="32"/>
          <w:szCs w:val="32"/>
        </w:rPr>
      </w:pPr>
      <w:r>
        <w:rPr>
          <w:rFonts w:hint="eastAsia" w:eastAsia="仿宋_GB2312"/>
          <w:sz w:val="32"/>
          <w:szCs w:val="32"/>
        </w:rPr>
        <w:t>附件：广东省安全生产委员会办公室转发国务院安委会办公室关于全面加强企业全员安全生产责任制工作的通知（粤安办〔2017〕171号）</w:t>
      </w:r>
    </w:p>
    <w:p>
      <w:pPr>
        <w:spacing w:line="620" w:lineRule="exact"/>
        <w:rPr>
          <w:rFonts w:hint="eastAsia" w:eastAsia="仿宋_GB2312"/>
          <w:sz w:val="32"/>
          <w:szCs w:val="32"/>
        </w:rPr>
      </w:pPr>
      <w:r>
        <w:rPr>
          <w:rFonts w:hint="eastAsia" w:eastAsia="仿宋_GB2312"/>
          <w:sz w:val="32"/>
          <w:szCs w:val="32"/>
        </w:rPr>
        <w:t xml:space="preserve">   </w:t>
      </w:r>
    </w:p>
    <w:p>
      <w:pPr>
        <w:spacing w:line="620" w:lineRule="exact"/>
        <w:rPr>
          <w:rFonts w:hint="eastAsia" w:eastAsia="仿宋_GB2312"/>
          <w:sz w:val="32"/>
          <w:szCs w:val="32"/>
        </w:rPr>
      </w:pPr>
    </w:p>
    <w:p>
      <w:pPr>
        <w:spacing w:line="620" w:lineRule="exact"/>
        <w:rPr>
          <w:rFonts w:hint="eastAsia" w:eastAsia="仿宋_GB2312"/>
          <w:sz w:val="32"/>
          <w:szCs w:val="32"/>
        </w:rPr>
      </w:pPr>
    </w:p>
    <w:p>
      <w:pPr>
        <w:spacing w:line="620" w:lineRule="exact"/>
        <w:ind w:firstLine="1600" w:firstLineChars="500"/>
        <w:jc w:val="center"/>
        <w:rPr>
          <w:rFonts w:eastAsia="仿宋_GB2312"/>
          <w:sz w:val="32"/>
          <w:szCs w:val="32"/>
        </w:rPr>
      </w:pPr>
      <w:r>
        <w:rPr>
          <w:rFonts w:eastAsia="仿宋_GB2312"/>
          <w:sz w:val="32"/>
          <w:szCs w:val="32"/>
        </w:rPr>
        <w:t>汕头市安全生产委员会办公室</w:t>
      </w:r>
    </w:p>
    <w:p>
      <w:pPr>
        <w:spacing w:line="620" w:lineRule="exact"/>
        <w:ind w:firstLine="1600" w:firstLineChars="500"/>
        <w:jc w:val="center"/>
        <w:rPr>
          <w:rFonts w:hint="eastAsia" w:eastAsia="仿宋_GB2312"/>
          <w:sz w:val="32"/>
          <w:szCs w:val="32"/>
        </w:rPr>
      </w:pPr>
      <w:r>
        <w:rPr>
          <w:rFonts w:eastAsia="仿宋_GB2312"/>
          <w:sz w:val="32"/>
          <w:szCs w:val="32"/>
        </w:rPr>
        <w:t xml:space="preserve"> 201</w:t>
      </w:r>
      <w:r>
        <w:rPr>
          <w:rFonts w:hint="eastAsia" w:eastAsia="仿宋_GB2312"/>
          <w:sz w:val="32"/>
          <w:szCs w:val="32"/>
        </w:rPr>
        <w:t>7</w:t>
      </w:r>
      <w:r>
        <w:rPr>
          <w:rFonts w:eastAsia="仿宋_GB2312"/>
          <w:sz w:val="32"/>
          <w:szCs w:val="32"/>
        </w:rPr>
        <w:t>年</w:t>
      </w:r>
      <w:r>
        <w:rPr>
          <w:rFonts w:hint="eastAsia" w:eastAsia="仿宋_GB2312"/>
          <w:sz w:val="32"/>
          <w:szCs w:val="32"/>
        </w:rPr>
        <w:t>11</w:t>
      </w:r>
      <w:r>
        <w:rPr>
          <w:rFonts w:eastAsia="仿宋_GB2312"/>
          <w:sz w:val="32"/>
          <w:szCs w:val="32"/>
        </w:rPr>
        <w:t>月</w:t>
      </w:r>
      <w:r>
        <w:rPr>
          <w:rFonts w:hint="eastAsia" w:eastAsia="仿宋_GB2312"/>
          <w:sz w:val="32"/>
          <w:szCs w:val="32"/>
        </w:rPr>
        <w:t>30</w:t>
      </w:r>
      <w:r>
        <w:rPr>
          <w:rFonts w:eastAsia="仿宋_GB2312"/>
          <w:sz w:val="32"/>
          <w:szCs w:val="32"/>
        </w:rPr>
        <w:t>日</w:t>
      </w:r>
    </w:p>
    <w:p>
      <w:pPr>
        <w:spacing w:line="620" w:lineRule="exact"/>
        <w:ind w:firstLine="1600" w:firstLineChars="500"/>
        <w:jc w:val="center"/>
        <w:rPr>
          <w:rFonts w:hint="eastAsia" w:eastAsia="仿宋_GB2312"/>
          <w:sz w:val="32"/>
          <w:szCs w:val="32"/>
        </w:rPr>
      </w:pPr>
    </w:p>
    <w:p>
      <w:pPr>
        <w:spacing w:line="620" w:lineRule="exact"/>
        <w:ind w:firstLine="1600" w:firstLineChars="500"/>
        <w:jc w:val="center"/>
        <w:rPr>
          <w:rFonts w:hint="eastAsia" w:eastAsia="仿宋_GB2312"/>
          <w:sz w:val="32"/>
          <w:szCs w:val="32"/>
        </w:rPr>
      </w:pPr>
    </w:p>
    <w:p>
      <w:pPr>
        <w:spacing w:line="620" w:lineRule="exact"/>
        <w:ind w:firstLine="1600" w:firstLineChars="500"/>
        <w:jc w:val="center"/>
        <w:rPr>
          <w:rFonts w:hint="eastAsia" w:eastAsia="仿宋_GB2312"/>
          <w:sz w:val="32"/>
          <w:szCs w:val="32"/>
        </w:rPr>
      </w:pPr>
    </w:p>
    <w:p>
      <w:pPr>
        <w:spacing w:line="620" w:lineRule="exact"/>
        <w:ind w:firstLine="1600" w:firstLineChars="500"/>
        <w:jc w:val="center"/>
        <w:rPr>
          <w:rFonts w:hint="eastAsia" w:eastAsia="仿宋_GB2312"/>
          <w:sz w:val="32"/>
          <w:szCs w:val="32"/>
        </w:rPr>
      </w:pPr>
    </w:p>
    <w:p>
      <w:pPr>
        <w:spacing w:line="620" w:lineRule="exact"/>
        <w:ind w:firstLine="1600" w:firstLineChars="500"/>
        <w:jc w:val="center"/>
        <w:rPr>
          <w:rFonts w:hint="eastAsia" w:eastAsia="仿宋_GB2312"/>
          <w:sz w:val="32"/>
          <w:szCs w:val="32"/>
        </w:rPr>
      </w:pPr>
    </w:p>
    <w:tbl>
      <w:tblPr>
        <w:tblStyle w:val="4"/>
        <w:tblpPr w:leftFromText="180" w:rightFromText="180" w:vertAnchor="text" w:horzAnchor="margin" w:tblpY="12482"/>
        <w:tblW w:w="9300"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30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Ex>
        <w:trPr>
          <w:trHeight w:val="631" w:hRule="atLeast"/>
        </w:trPr>
        <w:tc>
          <w:tcPr>
            <w:tcW w:w="9300" w:type="dxa"/>
            <w:vAlign w:val="top"/>
          </w:tcPr>
          <w:p>
            <w:pPr>
              <w:spacing w:line="620" w:lineRule="exact"/>
              <w:ind w:right="-512" w:rightChars="-244"/>
              <w:rPr>
                <w:rFonts w:hint="eastAsia" w:eastAsia="仿宋_GB2312"/>
                <w:sz w:val="28"/>
                <w:szCs w:val="28"/>
              </w:rPr>
            </w:pPr>
            <w:r>
              <w:rPr>
                <w:rFonts w:eastAsia="仿宋_GB2312"/>
                <w:sz w:val="28"/>
                <w:szCs w:val="28"/>
              </w:rPr>
              <w:t xml:space="preserve">汕头市安全生产委员会办公室         </w:t>
            </w:r>
            <w:r>
              <w:rPr>
                <w:rFonts w:hint="eastAsia" w:eastAsia="仿宋_GB2312"/>
                <w:sz w:val="28"/>
                <w:szCs w:val="28"/>
              </w:rPr>
              <w:t xml:space="preserve">  </w:t>
            </w:r>
            <w:r>
              <w:rPr>
                <w:rFonts w:eastAsia="仿宋_GB2312"/>
                <w:sz w:val="28"/>
                <w:szCs w:val="28"/>
              </w:rPr>
              <w:t xml:space="preserve">     </w:t>
            </w:r>
            <w:r>
              <w:rPr>
                <w:rFonts w:hint="eastAsia" w:eastAsia="仿宋_GB2312"/>
                <w:sz w:val="28"/>
                <w:szCs w:val="28"/>
              </w:rPr>
              <w:t xml:space="preserve"> </w:t>
            </w:r>
            <w:r>
              <w:rPr>
                <w:rFonts w:eastAsia="仿宋_GB2312"/>
                <w:sz w:val="28"/>
                <w:szCs w:val="28"/>
              </w:rPr>
              <w:t>201</w:t>
            </w:r>
            <w:r>
              <w:rPr>
                <w:rFonts w:hint="eastAsia" w:eastAsia="仿宋_GB2312"/>
                <w:sz w:val="28"/>
                <w:szCs w:val="28"/>
              </w:rPr>
              <w:t>7</w:t>
            </w:r>
            <w:r>
              <w:rPr>
                <w:rFonts w:eastAsia="仿宋_GB2312"/>
                <w:sz w:val="28"/>
                <w:szCs w:val="28"/>
              </w:rPr>
              <w:t>年</w:t>
            </w:r>
            <w:r>
              <w:rPr>
                <w:rFonts w:hint="eastAsia" w:eastAsia="仿宋_GB2312"/>
                <w:sz w:val="28"/>
                <w:szCs w:val="28"/>
              </w:rPr>
              <w:t>11</w:t>
            </w:r>
            <w:r>
              <w:rPr>
                <w:rFonts w:eastAsia="仿宋_GB2312"/>
                <w:sz w:val="28"/>
                <w:szCs w:val="28"/>
              </w:rPr>
              <w:t>月</w:t>
            </w:r>
            <w:r>
              <w:rPr>
                <w:rFonts w:hint="eastAsia" w:eastAsia="仿宋_GB2312"/>
                <w:sz w:val="28"/>
                <w:szCs w:val="28"/>
              </w:rPr>
              <w:t>30</w:t>
            </w:r>
            <w:r>
              <w:rPr>
                <w:rFonts w:eastAsia="仿宋_GB2312"/>
                <w:sz w:val="28"/>
                <w:szCs w:val="28"/>
              </w:rPr>
              <w:t>日印发</w:t>
            </w:r>
          </w:p>
        </w:tc>
      </w:tr>
    </w:tbl>
    <w:p>
      <w:pPr>
        <w:rPr>
          <w:rFonts w:hint="eastAsia"/>
        </w:rPr>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E00002FF" w:usb1="4000ACFF" w:usb2="00000001" w:usb3="00000000" w:csb0="2000019F" w:csb1="00000000"/>
  </w:font>
  <w:font w:name="小标宋">
    <w:altName w:val="宋体"/>
    <w:panose1 w:val="03000509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Arial Unicode MS"/>
    <w:panose1 w:val="02010601030101010101"/>
    <w:charset w:val="86"/>
    <w:family w:val="auto"/>
    <w:pitch w:val="default"/>
    <w:sig w:usb0="00000000" w:usb1="00000000" w:usb2="00000000" w:usb3="00000000" w:csb0="00040000" w:csb1="00000000"/>
  </w:font>
  <w:font w:name="创艺简标宋">
    <w:altName w:val="方正舒体"/>
    <w:panose1 w:val="00000000000000000000"/>
    <w:charset w:val="86"/>
    <w:family w:val="auto"/>
    <w:pitch w:val="default"/>
    <w:sig w:usb0="00000000" w:usb1="00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 w:name="方正舒体">
    <w:panose1 w:val="02010601030101010101"/>
    <w:charset w:val="86"/>
    <w:family w:val="auto"/>
    <w:pitch w:val="default"/>
    <w:sig w:usb0="00000003" w:usb1="080E0000" w:usb2="00000000" w:usb3="00000000" w:csb0="00040000" w:csb1="00000000"/>
  </w:font>
  <w:font w:name="公文小标宋简">
    <w:altName w:val="宋体"/>
    <w:panose1 w:val="02010609010101010101"/>
    <w:charset w:val="00"/>
    <w:family w:val="auto"/>
    <w:pitch w:val="default"/>
    <w:sig w:usb0="00000000" w:usb1="00000000" w:usb2="00000000"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文本框 1"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8zarLcBAABUAwAADgAAAGRycy9lMm9Eb2MueG1srVNLbtswEN0H6B0I&#10;7mPJAlI4gumgQZCiQNEGSHIAmiItAvxhSFvyBdobdNVN9z2Xz9EhbTlFswu6oWY4wzfvzYyWN6M1&#10;ZCchau8Ync9qSqQTvtNuw+jz0/3lgpKYuOu48U4yupeR3qzeXSyH0MrG9950EgiCuNgOgdE+pdBW&#10;VRS9tDzOfJAOg8qD5Qld2FQd8AHRramaun5fDR66AF7IGPH27hikq4KvlBTpq1JRJmIYRW6pnFDO&#10;dT6r1ZK3G+Ch1+JEg7+BheXaYdEz1B1PnGxBv4KyWoCPXqWZ8LbySmkhiwZUM6//UfPY8yCLFmxO&#10;DOc2xf8HK77sHoDojtGGEsctjujw4/vh5+/Dr29kntszhNhi1mPAvDTe+hHHPN1HvMyqRwU2f1EP&#10;wTg2en9urhwTEfnRolksagwJjE0O4lcvzwPE9FF6S7LBKOD0SlP57nNMx9QpJVdz/l4bUyZoHBkY&#10;vb5qrsqDcwTBjcMaWcSRbLbSuB5Pyta+26OwATeAUYcrSon55LDBeVkmAyZjPRnbAHrTl23KTGL4&#10;sE3IppDMFY6wp8I4uiLztGZ5N/72S9bLz7D6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M6pebnP&#10;AAAABQEAAA8AAAAAAAAAAQAgAAAAIgAAAGRycy9kb3ducmV2LnhtbFBLAQIUABQAAAAIAIdO4kCz&#10;zNqstwEAAFQDAAAOAAAAAAAAAAEAIAAAAB4BAABkcnMvZTJvRG9jLnhtbFBLBQYAAAAABgAGAFkB&#10;AABHBQAAAAA=&#10;">
              <v:path/>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1B07E98"/>
    <w:rsid w:val="31B07E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2017-12-08T07:35:00Z</dcterms:created>
  <dc:creator>半点</dc:creator>
  <cp:lastModifiedBy>半点</cp:lastModifiedBy>
  <dcterms:modified xsi:type="dcterms:W3CDTF">2017-12-08T07:35:54Z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