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center"/>
        <w:rPr>
          <w:rFonts w:hint="eastAsia" w:ascii="宋体" w:hAnsi="宋体" w:eastAsia="宋体" w:cs="宋体"/>
          <w:b/>
          <w:sz w:val="36"/>
          <w:szCs w:val="36"/>
        </w:rPr>
      </w:pPr>
      <w:r>
        <w:rPr>
          <w:rFonts w:hint="eastAsia" w:ascii="宋体" w:hAnsi="宋体" w:eastAsia="宋体" w:cs="宋体"/>
          <w:b/>
          <w:sz w:val="36"/>
          <w:szCs w:val="36"/>
        </w:rPr>
        <w:t>汕头市2017年燃气行业无证经营专项整治工作方案</w:t>
      </w:r>
    </w:p>
    <w:p>
      <w:pPr>
        <w:spacing w:line="580" w:lineRule="exact"/>
        <w:rPr>
          <w:rFonts w:ascii="仿宋_GB2312" w:eastAsia="仿宋_GB2312"/>
          <w:sz w:val="32"/>
          <w:szCs w:val="32"/>
        </w:rPr>
      </w:pPr>
      <w:r>
        <w:rPr>
          <w:rFonts w:hint="eastAsia" w:eastAsia="仿宋_GB2312"/>
          <w:sz w:val="32"/>
          <w:szCs w:val="32"/>
        </w:rPr>
        <w:t> </w:t>
      </w:r>
    </w:p>
    <w:p>
      <w:pPr>
        <w:spacing w:line="620" w:lineRule="exact"/>
        <w:rPr>
          <w:rFonts w:ascii="仿宋_GB2312" w:eastAsia="仿宋_GB2312"/>
          <w:sz w:val="32"/>
          <w:szCs w:val="32"/>
        </w:rPr>
      </w:pPr>
      <w:r>
        <w:rPr>
          <w:rFonts w:hint="eastAsia"/>
        </w:rPr>
        <w:t>　　</w:t>
      </w:r>
      <w:r>
        <w:rPr>
          <w:rFonts w:hint="eastAsia"/>
          <w:lang w:val="en-US" w:eastAsia="zh-CN"/>
        </w:rPr>
        <w:t xml:space="preserve">  </w:t>
      </w:r>
      <w:r>
        <w:rPr>
          <w:rFonts w:hint="eastAsia" w:ascii="仿宋_GB2312" w:eastAsia="仿宋_GB2312"/>
          <w:sz w:val="32"/>
          <w:szCs w:val="32"/>
        </w:rPr>
        <w:t>为贯彻落实市府办《关于印发汕头市2017年无证无照经营行为综合治理工作方案的通知》（汕府办传〔2017〕91号）精神，根据上级关于将无证无照经营行为综合治理工作纳入综治考评指标体系、“两建”考核指标体系的工作要求，结合我市当前正深入开展的创建全国文明城市活动，为进一步规范我市燃气市场的经营行为，保护经营者和消费者的合法权益，就2017年度燃气行业无证经营专项整治工作制定以下实施方案：</w:t>
      </w:r>
    </w:p>
    <w:p>
      <w:pPr>
        <w:pStyle w:val="2"/>
        <w:spacing w:line="620" w:lineRule="exact"/>
        <w:ind w:firstLine="640"/>
        <w:rPr>
          <w:rFonts w:ascii="黑体" w:hAnsi="黑体" w:eastAsia="黑体"/>
          <w:bCs/>
          <w:sz w:val="32"/>
          <w:szCs w:val="32"/>
        </w:rPr>
      </w:pPr>
      <w:r>
        <w:rPr>
          <w:rFonts w:hint="eastAsia" w:ascii="黑体" w:hAnsi="黑体" w:eastAsia="黑体"/>
          <w:bCs/>
          <w:sz w:val="32"/>
          <w:szCs w:val="32"/>
        </w:rPr>
        <w:t>一、工作目标</w:t>
      </w:r>
    </w:p>
    <w:p>
      <w:pPr>
        <w:pStyle w:val="3"/>
        <w:spacing w:line="620" w:lineRule="exact"/>
        <w:rPr>
          <w:rFonts w:ascii="仿宋_GB2312" w:eastAsia="仿宋_GB2312"/>
          <w:sz w:val="32"/>
          <w:szCs w:val="32"/>
        </w:rPr>
      </w:pPr>
      <w:r>
        <w:rPr>
          <w:rFonts w:hint="eastAsia" w:ascii="仿宋_GB2312" w:eastAsia="仿宋_GB2312"/>
          <w:sz w:val="32"/>
          <w:szCs w:val="32"/>
        </w:rPr>
        <w:t>围绕汕头实施振兴发展、创新驱动发展两大战略部署，以创文强管带动营商环境提升为契机，按照“以治理促规范，以规范促发展”的方针，认真贯彻实施《广东省查处无照经营行为条例》、《广东省市场监管条例》和《关于印发汕头市商事制度改革后续监管工作实施方案的通知》（汕府办函〔2015〕27号），坚持政府统一领导，政府各职能部门分工合作、齐抓共管的原则，加大力度，标本兼治，对全市燃气行业无证经营行为进行全面清理，从根本上遏制燃气行业无证经营行为现象，营造公平有序的市场竞争环境，促进燃气市场健康发展。</w:t>
      </w:r>
    </w:p>
    <w:p>
      <w:pPr>
        <w:pStyle w:val="2"/>
        <w:spacing w:line="620" w:lineRule="exact"/>
        <w:ind w:firstLine="640"/>
        <w:rPr>
          <w:rFonts w:ascii="黑体" w:hAnsi="黑体" w:eastAsia="黑体"/>
          <w:bCs/>
          <w:sz w:val="32"/>
          <w:szCs w:val="32"/>
        </w:rPr>
      </w:pPr>
      <w:r>
        <w:rPr>
          <w:rFonts w:hint="eastAsia" w:ascii="黑体" w:hAnsi="黑体" w:eastAsia="黑体"/>
          <w:bCs/>
          <w:sz w:val="32"/>
          <w:szCs w:val="32"/>
        </w:rPr>
        <w:t>二、整治范围</w:t>
      </w:r>
    </w:p>
    <w:p>
      <w:pPr>
        <w:spacing w:line="620" w:lineRule="exact"/>
        <w:ind w:firstLine="570"/>
        <w:rPr>
          <w:rFonts w:ascii="仿宋_GB2312" w:hAnsi="宋体" w:eastAsia="仿宋_GB2312"/>
          <w:sz w:val="32"/>
          <w:szCs w:val="32"/>
        </w:rPr>
      </w:pPr>
      <w:r>
        <w:rPr>
          <w:rFonts w:hint="eastAsia" w:ascii="仿宋_GB2312" w:hAnsi="宋体" w:eastAsia="仿宋_GB2312"/>
          <w:sz w:val="32"/>
          <w:szCs w:val="32"/>
        </w:rPr>
        <w:t>应当依法取得而未取得燃气经营许可证（包括其他批准文件，下同）或燃气经营许可证有效期届满后未按规定重新办理手续，擅自从事瓶装燃气经营活动的行为。重点是对城中村、城乡结合部、农村片区等区域无证经营燃气进行清理整治。</w:t>
      </w:r>
    </w:p>
    <w:p>
      <w:pPr>
        <w:spacing w:line="620" w:lineRule="exact"/>
        <w:ind w:firstLine="570"/>
        <w:rPr>
          <w:rFonts w:ascii="黑体" w:hAnsi="黑体" w:eastAsia="黑体"/>
          <w:bCs/>
          <w:sz w:val="32"/>
          <w:szCs w:val="32"/>
        </w:rPr>
      </w:pPr>
      <w:r>
        <w:rPr>
          <w:rFonts w:hint="eastAsia" w:ascii="黑体" w:hAnsi="黑体" w:eastAsia="黑体"/>
          <w:bCs/>
          <w:sz w:val="32"/>
          <w:szCs w:val="32"/>
        </w:rPr>
        <w:t>三、整治步骤</w:t>
      </w:r>
    </w:p>
    <w:p>
      <w:pPr>
        <w:spacing w:line="620" w:lineRule="exact"/>
        <w:ind w:firstLine="570"/>
        <w:rPr>
          <w:rFonts w:ascii="仿宋_GB2312" w:hAnsi="宋体" w:eastAsia="仿宋_GB2312"/>
          <w:sz w:val="32"/>
          <w:szCs w:val="32"/>
        </w:rPr>
      </w:pPr>
      <w:r>
        <w:rPr>
          <w:rFonts w:hint="eastAsia" w:ascii="仿宋_GB2312" w:hAnsi="宋体" w:eastAsia="仿宋_GB2312"/>
          <w:sz w:val="32"/>
          <w:szCs w:val="32"/>
        </w:rPr>
        <w:t>燃气行业无证经营专项整治分三个阶段进行：</w:t>
      </w:r>
    </w:p>
    <w:p>
      <w:pPr>
        <w:spacing w:line="620" w:lineRule="exact"/>
        <w:ind w:firstLine="570"/>
        <w:rPr>
          <w:rFonts w:hint="eastAsia" w:ascii="楷体" w:hAnsi="楷体" w:eastAsia="楷体" w:cs="楷体"/>
          <w:sz w:val="32"/>
          <w:szCs w:val="32"/>
        </w:rPr>
      </w:pPr>
      <w:r>
        <w:rPr>
          <w:rFonts w:hint="eastAsia" w:ascii="楷体" w:hAnsi="楷体" w:eastAsia="楷体" w:cs="楷体"/>
          <w:sz w:val="32"/>
          <w:szCs w:val="32"/>
        </w:rPr>
        <w:t>（一）宣传摸底阶段（8月1日至8月31日）。</w:t>
      </w:r>
    </w:p>
    <w:p>
      <w:pPr>
        <w:spacing w:line="620" w:lineRule="exact"/>
        <w:ind w:firstLine="640" w:firstLineChars="200"/>
        <w:rPr>
          <w:rFonts w:ascii="仿宋_GB2312" w:hAnsi="宋体" w:eastAsia="仿宋_GB2312"/>
          <w:sz w:val="32"/>
          <w:szCs w:val="32"/>
        </w:rPr>
      </w:pPr>
      <w:r>
        <w:rPr>
          <w:rFonts w:hint="eastAsia" w:ascii="仿宋_GB2312" w:hAnsi="宋体" w:eastAsia="仿宋_GB2312"/>
          <w:sz w:val="32"/>
          <w:szCs w:val="32"/>
        </w:rPr>
        <w:t>各区县住建局要结合本地区本单位实际情况，制定切实可行的整治工作方案，利用广播、电视、报刊等媒体进行宣传，扩大群众知晓面，增强广大经营者自觉守法、消费者抵制无证经营的意识，营造查处取缔无证经营工作的浓厚氛围。要按照属地管理的原则，精心组织，集中力量、集中时间摸清辖区范围内无证经营户的基本情况，为开展整治做好前期准备工作。</w:t>
      </w:r>
    </w:p>
    <w:p>
      <w:pPr>
        <w:spacing w:line="620" w:lineRule="exact"/>
        <w:ind w:firstLine="570"/>
        <w:rPr>
          <w:rFonts w:hint="eastAsia" w:ascii="楷体" w:hAnsi="楷体" w:eastAsia="楷体" w:cs="楷体"/>
          <w:sz w:val="32"/>
          <w:szCs w:val="32"/>
        </w:rPr>
      </w:pPr>
      <w:r>
        <w:rPr>
          <w:rFonts w:hint="eastAsia" w:ascii="楷体" w:hAnsi="楷体" w:eastAsia="楷体" w:cs="楷体"/>
          <w:sz w:val="32"/>
          <w:szCs w:val="32"/>
        </w:rPr>
        <w:t>（二）清理整治阶段（9月1日至11月30日）。</w:t>
      </w:r>
    </w:p>
    <w:p>
      <w:pPr>
        <w:spacing w:line="620" w:lineRule="exact"/>
        <w:ind w:firstLine="570"/>
        <w:rPr>
          <w:rFonts w:ascii="仿宋_GB2312" w:hAnsi="宋体" w:eastAsia="仿宋_GB2312"/>
          <w:sz w:val="32"/>
          <w:szCs w:val="32"/>
        </w:rPr>
      </w:pPr>
      <w:r>
        <w:rPr>
          <w:rFonts w:hint="eastAsia" w:ascii="仿宋_GB2312" w:hAnsi="宋体" w:eastAsia="仿宋_GB2312"/>
          <w:sz w:val="32"/>
          <w:szCs w:val="32"/>
        </w:rPr>
        <w:t>各区县住建局根据各自制定的具体方案开展整治行动。对无证经营比较集中的区域，与辖区内有关单位协调配合，提出相应的解决办法，有步骤、有重点地进行整治。对经营条件、范围、项目符合法律、法规规定的，应督促、引导其依法办理燃气经营相关证照，合法经营；对存在重大安全隐患的无证经营点应坚决查处取缔。</w:t>
      </w:r>
    </w:p>
    <w:p>
      <w:pPr>
        <w:spacing w:line="620" w:lineRule="exact"/>
        <w:ind w:firstLine="570"/>
        <w:rPr>
          <w:rFonts w:ascii="仿宋_GB2312" w:hAnsi="宋体" w:eastAsia="仿宋_GB2312"/>
          <w:sz w:val="32"/>
          <w:szCs w:val="32"/>
        </w:rPr>
      </w:pPr>
      <w:r>
        <w:rPr>
          <w:rFonts w:hint="eastAsia" w:ascii="仿宋_GB2312" w:hAnsi="宋体" w:eastAsia="仿宋_GB2312"/>
          <w:sz w:val="32"/>
          <w:szCs w:val="32"/>
        </w:rPr>
        <w:t>市住建局将结合燃气安全生产工作对各区县开展燃气行业无证经营专项整治工作情况进行督查。</w:t>
      </w:r>
    </w:p>
    <w:p>
      <w:pPr>
        <w:spacing w:line="620" w:lineRule="exact"/>
        <w:ind w:firstLine="570"/>
        <w:rPr>
          <w:rFonts w:hint="eastAsia" w:ascii="楷体" w:hAnsi="楷体" w:eastAsia="楷体" w:cs="楷体"/>
          <w:sz w:val="32"/>
          <w:szCs w:val="32"/>
        </w:rPr>
      </w:pPr>
      <w:r>
        <w:rPr>
          <w:rFonts w:hint="eastAsia" w:ascii="楷体" w:hAnsi="楷体" w:eastAsia="楷体" w:cs="楷体"/>
          <w:sz w:val="32"/>
          <w:szCs w:val="32"/>
        </w:rPr>
        <w:t>（三）总结提高阶段（12月1日至12月10日）。</w:t>
      </w:r>
    </w:p>
    <w:p>
      <w:pPr>
        <w:spacing w:line="620" w:lineRule="exact"/>
        <w:ind w:firstLine="570"/>
        <w:rPr>
          <w:rFonts w:ascii="仿宋_GB2312" w:hAnsi="宋体" w:eastAsia="仿宋_GB2312"/>
          <w:sz w:val="32"/>
          <w:szCs w:val="32"/>
        </w:rPr>
      </w:pPr>
      <w:r>
        <w:rPr>
          <w:rFonts w:hint="eastAsia" w:ascii="仿宋_GB2312" w:hAnsi="宋体" w:eastAsia="仿宋_GB2312"/>
          <w:sz w:val="32"/>
          <w:szCs w:val="32"/>
        </w:rPr>
        <w:t>各区县住建局要及时进行总结经验做法，纠正工作中存在的问题，创新治理方法，总结提升推广治理工作中的经验，建立健全科学监管长效机制。</w:t>
      </w:r>
    </w:p>
    <w:p>
      <w:pPr>
        <w:spacing w:line="620" w:lineRule="exact"/>
        <w:ind w:firstLine="570"/>
        <w:rPr>
          <w:rFonts w:ascii="黑体" w:hAnsi="黑体" w:eastAsia="黑体"/>
          <w:sz w:val="32"/>
          <w:szCs w:val="32"/>
        </w:rPr>
      </w:pPr>
      <w:r>
        <w:rPr>
          <w:rFonts w:hint="eastAsia" w:ascii="黑体" w:hAnsi="黑体" w:eastAsia="黑体"/>
          <w:sz w:val="32"/>
          <w:szCs w:val="32"/>
        </w:rPr>
        <w:t>四、职责分工</w:t>
      </w:r>
    </w:p>
    <w:p>
      <w:pPr>
        <w:spacing w:line="620" w:lineRule="exact"/>
        <w:ind w:firstLine="570"/>
        <w:rPr>
          <w:rFonts w:ascii="仿宋_GB2312" w:hAnsi="宋体" w:eastAsia="仿宋_GB2312"/>
          <w:sz w:val="32"/>
          <w:szCs w:val="32"/>
        </w:rPr>
      </w:pPr>
      <w:r>
        <w:rPr>
          <w:rFonts w:hint="eastAsia" w:ascii="仿宋_GB2312" w:hAnsi="宋体" w:eastAsia="仿宋_GB2312"/>
          <w:sz w:val="32"/>
          <w:szCs w:val="32"/>
        </w:rPr>
        <w:t>市住建局负责燃气行业无证经营专项整治工作的统筹协调、督促指导，各区县住建局负责辖区内燃气行业无证经营专项整治工作的组织、协调、实施。</w:t>
      </w:r>
    </w:p>
    <w:p>
      <w:pPr>
        <w:spacing w:line="620" w:lineRule="exact"/>
        <w:ind w:firstLine="570"/>
        <w:rPr>
          <w:rFonts w:ascii="仿宋_GB2312" w:hAnsi="宋体" w:eastAsia="仿宋_GB2312"/>
          <w:b/>
          <w:bCs/>
          <w:sz w:val="32"/>
          <w:szCs w:val="32"/>
        </w:rPr>
      </w:pPr>
      <w:r>
        <w:rPr>
          <w:rFonts w:hint="eastAsia" w:ascii="黑体" w:hAnsi="黑体" w:eastAsia="黑体"/>
          <w:sz w:val="32"/>
          <w:szCs w:val="32"/>
        </w:rPr>
        <w:t>五、工作要求</w:t>
      </w:r>
    </w:p>
    <w:p>
      <w:pPr>
        <w:spacing w:line="620" w:lineRule="exact"/>
        <w:ind w:firstLine="570"/>
        <w:rPr>
          <w:rFonts w:ascii="仿宋_GB2312" w:hAnsi="宋体" w:eastAsia="仿宋_GB2312"/>
          <w:sz w:val="32"/>
          <w:szCs w:val="32"/>
        </w:rPr>
      </w:pPr>
      <w:r>
        <w:rPr>
          <w:rFonts w:hint="eastAsia" w:ascii="楷体" w:hAnsi="楷体" w:eastAsia="楷体" w:cs="楷体"/>
          <w:sz w:val="32"/>
          <w:szCs w:val="32"/>
        </w:rPr>
        <w:t>（一）精心组织，落实责任。</w:t>
      </w:r>
      <w:r>
        <w:rPr>
          <w:rFonts w:hint="eastAsia" w:ascii="仿宋_GB2312" w:hAnsi="宋体" w:eastAsia="仿宋_GB2312"/>
          <w:sz w:val="32"/>
          <w:szCs w:val="32"/>
        </w:rPr>
        <w:t>根据</w:t>
      </w:r>
      <w:r>
        <w:rPr>
          <w:rFonts w:hint="eastAsia" w:ascii="仿宋_GB2312" w:eastAsia="仿宋_GB2312"/>
          <w:sz w:val="32"/>
          <w:szCs w:val="32"/>
        </w:rPr>
        <w:t>市府办《关于印发汕头市2017年无证无照经营行为综合治理工作方案的通知》（汕府办传〔2017〕91号）</w:t>
      </w:r>
      <w:r>
        <w:rPr>
          <w:rFonts w:hint="eastAsia" w:ascii="仿宋_GB2312" w:hAnsi="宋体" w:eastAsia="仿宋_GB2312"/>
          <w:sz w:val="32"/>
          <w:szCs w:val="32"/>
        </w:rPr>
        <w:t>精神，各区县住建局要组织并落实好燃气行业无证专项整治工作，确保取得良好成效。在查处无证经营行为时，积极主动加强与工商、安监、公安、消防、街道等部门联系和沟通，对超出职责范围的，应当及时通报有关部门进行查处，必要时提请辖区政府组织联合执法，构筑无证无照经营综合治理机制。</w:t>
      </w:r>
    </w:p>
    <w:p>
      <w:pPr>
        <w:spacing w:line="620" w:lineRule="exact"/>
        <w:ind w:firstLine="570"/>
        <w:rPr>
          <w:rFonts w:ascii="仿宋_GB2312" w:hAnsi="宋体" w:eastAsia="仿宋_GB2312"/>
          <w:sz w:val="32"/>
          <w:szCs w:val="32"/>
        </w:rPr>
      </w:pPr>
      <w:r>
        <w:rPr>
          <w:rFonts w:hint="eastAsia" w:ascii="楷体" w:hAnsi="楷体" w:eastAsia="楷体" w:cs="楷体"/>
          <w:sz w:val="32"/>
          <w:szCs w:val="32"/>
        </w:rPr>
        <w:t>（二）区别对待，注重实效。</w:t>
      </w:r>
      <w:r>
        <w:rPr>
          <w:rFonts w:hint="eastAsia" w:ascii="仿宋_GB2312" w:hAnsi="宋体" w:eastAsia="仿宋_GB2312"/>
          <w:sz w:val="32"/>
          <w:szCs w:val="32"/>
        </w:rPr>
        <w:t>在整治行动中，要坚持清查与引导、教育与处罚、整治与规范相结合的原则，区别对待，对符合办证条件的经营户教育引导其办理相关手续，合法经营；对存在重大安全隐患，威胁公共安全，群众反映强烈且不服从执法检查、整改不到位的无证经营行为要严厉查处取缔。要以整治促管理、以管理保安全，加强日常监管巡查工作，特别是对城中村、城乡结合部、农村片区等区域进行巡查，保障燃气市场经营秩序和广大人民群众用气安全。</w:t>
      </w:r>
    </w:p>
    <w:p>
      <w:pPr>
        <w:spacing w:line="620" w:lineRule="exact"/>
        <w:ind w:firstLine="570"/>
        <w:rPr>
          <w:rFonts w:ascii="仿宋_GB2312" w:hAnsi="宋体" w:eastAsia="仿宋_GB2312"/>
          <w:sz w:val="32"/>
          <w:szCs w:val="32"/>
        </w:rPr>
      </w:pPr>
      <w:r>
        <w:rPr>
          <w:rFonts w:hint="eastAsia" w:ascii="楷体" w:hAnsi="楷体" w:eastAsia="楷体" w:cs="楷体"/>
          <w:sz w:val="32"/>
          <w:szCs w:val="32"/>
        </w:rPr>
        <w:t>（三）加强宣传，营造氛围。</w:t>
      </w:r>
      <w:r>
        <w:rPr>
          <w:rFonts w:hint="eastAsia" w:ascii="仿宋_GB2312" w:hAnsi="宋体" w:eastAsia="仿宋_GB2312"/>
          <w:sz w:val="32"/>
          <w:szCs w:val="32"/>
        </w:rPr>
        <w:t>各区县住建局要通过媒体、网络等平台，多层次、多形式、多渠道加强宣传查处取缔无证无照经营行为的重要意义、国家相关的法律法规，增强经营主体依法经营、诚信经营意识，发动广大人民积极参与、配合支持，营造有利于治理无证无照经营工作的社会氛围。在查处取缔过程中，要及时曝光一些典型案例，发挥警示和震慑作用。</w:t>
      </w:r>
    </w:p>
    <w:p>
      <w:pPr>
        <w:pStyle w:val="3"/>
        <w:spacing w:line="620" w:lineRule="exact"/>
        <w:rPr>
          <w:rFonts w:hint="eastAsia" w:ascii="仿宋_GB2312" w:eastAsia="仿宋_GB2312"/>
          <w:sz w:val="32"/>
          <w:szCs w:val="32"/>
        </w:rPr>
      </w:pPr>
      <w:r>
        <w:rPr>
          <w:rFonts w:hint="eastAsia" w:ascii="楷体" w:hAnsi="楷体" w:eastAsia="楷体" w:cs="楷体"/>
          <w:sz w:val="32"/>
          <w:szCs w:val="32"/>
        </w:rPr>
        <w:t>（四）加强信息反馈，及时报送情况。</w:t>
      </w:r>
      <w:r>
        <w:rPr>
          <w:rFonts w:hint="eastAsia" w:ascii="仿宋_GB2312" w:eastAsia="仿宋_GB2312"/>
          <w:sz w:val="32"/>
          <w:szCs w:val="32"/>
        </w:rPr>
        <w:t>各区县住建局要将开展无证经营整治情况工作总结及《2017年综合整治无证无照经营情况统计表》于12月5日前报市住建局燃气管理科。联系电话：88572045，传真：88566316，电子邮箱：</w:t>
      </w:r>
      <w:r>
        <w:rPr>
          <w:rFonts w:hint="eastAsia" w:ascii="仿宋_GB2312" w:eastAsia="仿宋_GB2312"/>
          <w:sz w:val="32"/>
          <w:szCs w:val="32"/>
        </w:rPr>
        <w:fldChar w:fldCharType="begin"/>
      </w:r>
      <w:r>
        <w:rPr>
          <w:rFonts w:hint="eastAsia" w:ascii="仿宋_GB2312" w:eastAsia="仿宋_GB2312"/>
          <w:sz w:val="32"/>
          <w:szCs w:val="32"/>
        </w:rPr>
        <w:instrText xml:space="preserve"> HYPERLINK "mailto:stzjjrqk@163.com。" </w:instrText>
      </w:r>
      <w:r>
        <w:rPr>
          <w:rFonts w:hint="eastAsia" w:ascii="仿宋_GB2312" w:eastAsia="仿宋_GB2312"/>
          <w:sz w:val="32"/>
          <w:szCs w:val="32"/>
        </w:rPr>
        <w:fldChar w:fldCharType="separate"/>
      </w:r>
      <w:r>
        <w:rPr>
          <w:rStyle w:val="8"/>
          <w:rFonts w:hint="eastAsia" w:ascii="仿宋_GB2312" w:eastAsia="仿宋_GB2312"/>
          <w:sz w:val="32"/>
          <w:szCs w:val="32"/>
        </w:rPr>
        <w:t>stzjjrqk@163.com。</w:t>
      </w:r>
      <w:r>
        <w:rPr>
          <w:rFonts w:hint="eastAsia" w:ascii="仿宋_GB2312" w:eastAsia="仿宋_GB2312"/>
          <w:sz w:val="32"/>
          <w:szCs w:val="32"/>
        </w:rPr>
        <w:fldChar w:fldCharType="end"/>
      </w:r>
    </w:p>
    <w:p>
      <w:pPr>
        <w:pStyle w:val="3"/>
        <w:spacing w:line="240" w:lineRule="exact"/>
        <w:ind w:firstLine="570"/>
        <w:rPr>
          <w:rFonts w:hint="eastAsia" w:ascii="仿宋_GB2312" w:eastAsia="仿宋_GB2312"/>
          <w:sz w:val="32"/>
          <w:szCs w:val="32"/>
        </w:rPr>
      </w:pPr>
    </w:p>
    <w:p>
      <w:pPr>
        <w:pStyle w:val="3"/>
        <w:spacing w:line="240" w:lineRule="exact"/>
        <w:ind w:firstLine="570"/>
        <w:rPr>
          <w:rFonts w:hint="eastAsia" w:ascii="仿宋_GB2312" w:eastAsia="仿宋_GB2312"/>
          <w:sz w:val="32"/>
          <w:szCs w:val="32"/>
        </w:rPr>
      </w:pPr>
    </w:p>
    <w:p>
      <w:pPr>
        <w:pStyle w:val="3"/>
        <w:spacing w:line="620" w:lineRule="exact"/>
        <w:rPr>
          <w:rFonts w:hint="eastAsia" w:ascii="仿宋_GB2312" w:eastAsia="仿宋_GB2312"/>
          <w:sz w:val="32"/>
          <w:szCs w:val="32"/>
        </w:rPr>
      </w:pPr>
      <w:r>
        <w:rPr>
          <w:rFonts w:hint="eastAsia" w:ascii="仿宋_GB2312" w:eastAsia="仿宋_GB2312"/>
          <w:sz w:val="32"/>
          <w:szCs w:val="32"/>
        </w:rPr>
        <w:t>附件：2017年综合整治无证无照经营情况统计表</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pict>
          <v:rect id="_x0000_i1025" o:spt="1" style="height:1.5pt;width:439.35pt;" fillcolor="#000000" stroked="f" coordsize="21600,21600" o:hr="t" o:hrstd="t" o:hrnoshade="t" o:hralign="center">
            <v:path/>
            <v:fill focussize="0,0"/>
            <v:stroke on="f"/>
            <v:imagedata o:title=""/>
            <o:lock v:ext="edit" grouping="f" rotation="f" text="f" aspectratio="f"/>
            <w10:wrap type="none"/>
            <w10:anchorlock/>
          </v:rect>
        </w:pict>
      </w:r>
    </w:p>
    <w:p>
      <w:pPr>
        <w:spacing w:after="0" w:afterLines="0" w:line="320" w:lineRule="exact"/>
        <w:ind w:left="0" w:leftChars="0" w:right="210" w:rightChars="100" w:firstLine="0" w:firstLineChars="0"/>
        <w:rPr>
          <w:rFonts w:hint="eastAsia" w:ascii="仿宋_GB2312" w:hAnsi="仿宋_GB2312" w:eastAsia="仿宋_GB2312" w:cs="仿宋_GB2312"/>
          <w:spacing w:val="-10"/>
          <w:sz w:val="32"/>
          <w:szCs w:val="32"/>
          <w:lang w:val="en-US" w:eastAsia="zh-CN"/>
        </w:rPr>
      </w:pPr>
      <w:r>
        <w:rPr>
          <w:rFonts w:hint="eastAsia" w:ascii="仿宋_GB2312" w:hAnsi="仿宋_GB2312" w:eastAsia="仿宋_GB2312" w:cs="仿宋_GB2312"/>
          <w:spacing w:val="-10"/>
          <w:sz w:val="32"/>
          <w:szCs w:val="32"/>
          <w:lang w:val="en-US" w:eastAsia="zh-CN"/>
        </w:rPr>
        <w:t xml:space="preserve">  </w:t>
      </w:r>
    </w:p>
    <w:p>
      <w:pPr>
        <w:spacing w:after="0" w:afterLines="0" w:line="320" w:lineRule="exact"/>
        <w:ind w:left="0" w:leftChars="0" w:right="210" w:rightChars="100" w:firstLine="0" w:firstLineChars="0"/>
        <w:rPr>
          <w:rFonts w:hint="eastAsia"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lang w:val="en-US" w:eastAsia="zh-CN"/>
        </w:rPr>
        <w:t xml:space="preserve">  </w:t>
      </w:r>
      <w:r>
        <w:rPr>
          <w:rFonts w:hint="eastAsia" w:ascii="仿宋_GB2312" w:hAnsi="仿宋_GB2312" w:eastAsia="仿宋_GB2312" w:cs="仿宋_GB2312"/>
          <w:spacing w:val="-10"/>
          <w:sz w:val="32"/>
          <w:szCs w:val="32"/>
        </w:rPr>
        <w:t xml:space="preserve">汕头市住房和城乡建设局办公室 </w:t>
      </w:r>
      <w:r>
        <w:rPr>
          <w:rFonts w:hint="eastAsia" w:ascii="仿宋_GB2312" w:hAnsi="仿宋_GB2312" w:eastAsia="仿宋_GB2312" w:cs="仿宋_GB2312"/>
          <w:spacing w:val="-10"/>
          <w:sz w:val="32"/>
          <w:szCs w:val="32"/>
          <w:lang w:val="en-US" w:eastAsia="zh-CN"/>
        </w:rPr>
        <w:t xml:space="preserve">  </w:t>
      </w:r>
      <w:r>
        <w:rPr>
          <w:rFonts w:hint="eastAsia" w:ascii="仿宋_GB2312" w:hAnsi="仿宋_GB2312" w:eastAsia="仿宋_GB2312" w:cs="仿宋_GB2312"/>
          <w:spacing w:val="-10"/>
          <w:sz w:val="32"/>
          <w:szCs w:val="32"/>
        </w:rPr>
        <w:t xml:space="preserve"> 2017年</w:t>
      </w:r>
      <w:r>
        <w:rPr>
          <w:rFonts w:hint="eastAsia" w:ascii="仿宋_GB2312" w:hAnsi="仿宋_GB2312" w:eastAsia="仿宋_GB2312" w:cs="仿宋_GB2312"/>
          <w:spacing w:val="-10"/>
          <w:sz w:val="32"/>
          <w:szCs w:val="32"/>
          <w:lang w:val="en-US" w:eastAsia="zh-CN"/>
        </w:rPr>
        <w:t>8</w:t>
      </w:r>
      <w:r>
        <w:rPr>
          <w:rFonts w:hint="eastAsia" w:ascii="仿宋_GB2312" w:hAnsi="仿宋_GB2312" w:eastAsia="仿宋_GB2312" w:cs="仿宋_GB2312"/>
          <w:spacing w:val="-10"/>
          <w:sz w:val="32"/>
          <w:szCs w:val="32"/>
        </w:rPr>
        <w:t>月</w:t>
      </w:r>
      <w:r>
        <w:rPr>
          <w:rFonts w:hint="eastAsia" w:ascii="仿宋_GB2312" w:hAnsi="仿宋_GB2312" w:eastAsia="仿宋_GB2312" w:cs="仿宋_GB2312"/>
          <w:spacing w:val="-10"/>
          <w:sz w:val="32"/>
          <w:szCs w:val="32"/>
          <w:lang w:val="en-US" w:eastAsia="zh-CN"/>
        </w:rPr>
        <w:t>1</w:t>
      </w:r>
      <w:r>
        <w:rPr>
          <w:rFonts w:hint="eastAsia" w:ascii="仿宋_GB2312" w:hAnsi="仿宋_GB2312" w:eastAsia="仿宋_GB2312" w:cs="仿宋_GB2312"/>
          <w:spacing w:val="-10"/>
          <w:sz w:val="32"/>
          <w:szCs w:val="32"/>
        </w:rPr>
        <w:t>日印发</w:t>
      </w:r>
    </w:p>
    <w:p>
      <w:pPr>
        <w:spacing w:after="0" w:afterLines="0" w:line="32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pict>
          <v:rect id="_x0000_i1026" o:spt="1" style="height:1.5pt;width:439.35pt;" fillcolor="#000000" stroked="f" coordsize="21600,21600" o:hr="t" o:hrstd="t" o:hrnoshade="t" o:hralign="center">
            <v:path/>
            <v:fill focussize="0,0"/>
            <v:stroke on="f"/>
            <v:imagedata o:title=""/>
            <o:lock v:ext="edit" grouping="f" rotation="f" text="f" aspectratio="f"/>
            <w10:wrap type="none"/>
            <w10:anchorlock/>
          </v:rect>
        </w:pict>
      </w:r>
    </w:p>
    <w:p>
      <w:pPr>
        <w:wordWrap/>
        <w:spacing w:after="0" w:afterLines="0" w:line="320" w:lineRule="exact"/>
        <w:ind w:right="0"/>
        <w:jc w:val="both"/>
        <w:rPr>
          <w:rFonts w:hint="eastAsia" w:hAnsi="仿宋_GB2312" w:eastAsia="仿宋_GB2312" w:cs="仿宋_GB2312"/>
          <w:sz w:val="32"/>
          <w:szCs w:val="32"/>
        </w:rPr>
      </w:pPr>
    </w:p>
    <w:p>
      <w:pPr>
        <w:spacing w:line="320" w:lineRule="exact"/>
        <w:ind w:firstLine="0" w:firstLineChars="0"/>
        <w:jc w:val="both"/>
        <w:rPr>
          <w:rFonts w:hint="eastAsia" w:ascii="仿宋_GB2312" w:hAnsi="仿宋_GB2312" w:eastAsia="仿宋_GB2312" w:cs="仿宋_GB2312"/>
          <w:sz w:val="32"/>
          <w:szCs w:val="32"/>
          <w:lang w:val="en-US" w:eastAsia="zh-CN"/>
        </w:rPr>
      </w:pPr>
      <w:r>
        <w:rPr>
          <w:rFonts w:hint="eastAsia" w:hAnsi="仿宋_GB2312" w:eastAsia="仿宋_GB2312" w:cs="仿宋_GB2312"/>
          <w:sz w:val="32"/>
          <w:szCs w:val="32"/>
          <w:lang w:val="en-US" w:eastAsia="zh-CN"/>
        </w:rPr>
        <w:t xml:space="preserve">  </w:t>
      </w:r>
      <w:r>
        <w:rPr>
          <w:rFonts w:hint="eastAsia" w:hAnsi="仿宋_GB2312" w:eastAsia="仿宋_GB2312" w:cs="仿宋_GB2312"/>
          <w:sz w:val="32"/>
          <w:szCs w:val="32"/>
          <w:lang w:eastAsia="zh-CN"/>
        </w:rPr>
        <w:t>校对人：吴朝雄</w:t>
      </w:r>
      <w:r>
        <w:rPr>
          <w:rFonts w:hint="eastAsia"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 xml:space="preserve">    （共印4份） </w:t>
      </w:r>
    </w:p>
    <w:p>
      <w:pPr>
        <w:pStyle w:val="3"/>
        <w:spacing w:line="580" w:lineRule="exact"/>
        <w:ind w:firstLine="0"/>
        <w:rPr>
          <w:rFonts w:ascii="仿宋_GB2312" w:eastAsia="仿宋_GB2312"/>
          <w:sz w:val="32"/>
          <w:szCs w:val="32"/>
        </w:rPr>
      </w:pPr>
      <w:r>
        <w:rPr>
          <w:rFonts w:hint="eastAsia" w:ascii="仿宋_GB2312" w:eastAsia="仿宋_GB2312"/>
          <w:sz w:val="32"/>
          <w:szCs w:val="32"/>
          <w:lang w:eastAsia="zh-CN"/>
        </w:rPr>
        <w:t>附</w:t>
      </w:r>
      <w:r>
        <w:rPr>
          <w:rFonts w:hint="eastAsia" w:ascii="仿宋_GB2312" w:eastAsia="仿宋_GB2312"/>
          <w:sz w:val="32"/>
          <w:szCs w:val="32"/>
        </w:rPr>
        <w:t>件</w:t>
      </w:r>
      <w:r>
        <w:rPr>
          <w:rFonts w:hint="eastAsia" w:ascii="仿宋_GB2312" w:eastAsia="仿宋_GB2312"/>
          <w:sz w:val="32"/>
          <w:szCs w:val="32"/>
          <w:lang w:eastAsia="zh-CN"/>
        </w:rPr>
        <w:t>：</w:t>
      </w:r>
    </w:p>
    <w:p>
      <w:pPr>
        <w:pStyle w:val="3"/>
        <w:spacing w:line="580" w:lineRule="exact"/>
        <w:ind w:firstLine="0"/>
        <w:jc w:val="center"/>
        <w:rPr>
          <w:b/>
          <w:sz w:val="36"/>
          <w:szCs w:val="36"/>
        </w:rPr>
      </w:pPr>
      <w:r>
        <w:rPr>
          <w:rFonts w:hint="eastAsia"/>
          <w:b/>
          <w:sz w:val="36"/>
          <w:szCs w:val="36"/>
        </w:rPr>
        <w:t>2017年综合整治无证无照经营情况统计表</w:t>
      </w:r>
    </w:p>
    <w:p>
      <w:pPr>
        <w:pStyle w:val="3"/>
        <w:spacing w:line="580" w:lineRule="exact"/>
        <w:ind w:firstLine="0"/>
        <w:rPr>
          <w:rFonts w:ascii="仿宋_GB2312" w:eastAsia="仿宋_GB2312"/>
          <w:sz w:val="32"/>
          <w:szCs w:val="32"/>
        </w:rPr>
      </w:pPr>
    </w:p>
    <w:p>
      <w:pPr>
        <w:pStyle w:val="3"/>
        <w:spacing w:line="580" w:lineRule="exact"/>
        <w:ind w:firstLine="0"/>
        <w:rPr>
          <w:rFonts w:ascii="仿宋_GB2312" w:eastAsia="仿宋_GB2312"/>
          <w:sz w:val="28"/>
          <w:szCs w:val="28"/>
        </w:rPr>
      </w:pPr>
      <w:r>
        <w:rPr>
          <w:rFonts w:hint="eastAsia" w:ascii="仿宋_GB2312" w:eastAsia="仿宋_GB2312"/>
          <w:sz w:val="28"/>
          <w:szCs w:val="28"/>
        </w:rPr>
        <w:t>填报单位:                         填报日期:2017年   月   日</w:t>
      </w:r>
    </w:p>
    <w:tbl>
      <w:tblPr>
        <w:tblStyle w:val="9"/>
        <w:tblpPr w:leftFromText="180" w:rightFromText="180" w:vertAnchor="text" w:horzAnchor="margin" w:tblpY="331"/>
        <w:tblW w:w="852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5"/>
        <w:gridCol w:w="5010"/>
        <w:gridCol w:w="28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5" w:type="dxa"/>
            <w:vAlign w:val="top"/>
          </w:tcPr>
          <w:p>
            <w:pPr>
              <w:pStyle w:val="3"/>
              <w:spacing w:line="580" w:lineRule="exact"/>
              <w:ind w:firstLine="0"/>
              <w:rPr>
                <w:rFonts w:ascii="仿宋_GB2312" w:eastAsia="仿宋_GB2312"/>
                <w:sz w:val="28"/>
                <w:szCs w:val="28"/>
              </w:rPr>
            </w:pPr>
            <w:r>
              <w:rPr>
                <w:rFonts w:hint="eastAsia" w:ascii="仿宋_GB2312" w:eastAsia="仿宋_GB2312"/>
                <w:sz w:val="28"/>
                <w:szCs w:val="28"/>
              </w:rPr>
              <w:t>1</w:t>
            </w:r>
          </w:p>
        </w:tc>
        <w:tc>
          <w:tcPr>
            <w:tcW w:w="5010" w:type="dxa"/>
            <w:vAlign w:val="top"/>
          </w:tcPr>
          <w:p>
            <w:pPr>
              <w:pStyle w:val="3"/>
              <w:spacing w:line="580" w:lineRule="exact"/>
              <w:ind w:firstLine="0"/>
              <w:rPr>
                <w:rFonts w:ascii="仿宋_GB2312" w:eastAsia="仿宋_GB2312"/>
                <w:sz w:val="28"/>
                <w:szCs w:val="28"/>
              </w:rPr>
            </w:pPr>
            <w:r>
              <w:rPr>
                <w:rFonts w:hint="eastAsia" w:ascii="仿宋_GB2312" w:eastAsia="仿宋_GB2312"/>
                <w:sz w:val="28"/>
                <w:szCs w:val="28"/>
              </w:rPr>
              <w:t>引导办照经营（户）</w:t>
            </w:r>
          </w:p>
        </w:tc>
        <w:tc>
          <w:tcPr>
            <w:tcW w:w="2843" w:type="dxa"/>
            <w:vAlign w:val="top"/>
          </w:tcPr>
          <w:p>
            <w:pPr>
              <w:pStyle w:val="3"/>
              <w:spacing w:line="580" w:lineRule="exact"/>
              <w:ind w:firstLine="0"/>
              <w:rPr>
                <w:rFonts w:ascii="仿宋_GB2312" w:eastAsia="仿宋_GB231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5" w:type="dxa"/>
            <w:vAlign w:val="top"/>
          </w:tcPr>
          <w:p>
            <w:pPr>
              <w:pStyle w:val="3"/>
              <w:spacing w:line="580" w:lineRule="exact"/>
              <w:ind w:firstLine="0"/>
              <w:rPr>
                <w:rFonts w:ascii="仿宋_GB2312" w:eastAsia="仿宋_GB2312"/>
                <w:sz w:val="28"/>
                <w:szCs w:val="28"/>
              </w:rPr>
            </w:pPr>
            <w:r>
              <w:rPr>
                <w:rFonts w:hint="eastAsia" w:ascii="仿宋_GB2312" w:eastAsia="仿宋_GB2312"/>
                <w:sz w:val="28"/>
                <w:szCs w:val="28"/>
              </w:rPr>
              <w:t>2</w:t>
            </w:r>
          </w:p>
        </w:tc>
        <w:tc>
          <w:tcPr>
            <w:tcW w:w="5010" w:type="dxa"/>
            <w:vAlign w:val="top"/>
          </w:tcPr>
          <w:p>
            <w:pPr>
              <w:pStyle w:val="3"/>
              <w:spacing w:line="580" w:lineRule="exact"/>
              <w:ind w:firstLine="0"/>
              <w:rPr>
                <w:rFonts w:ascii="仿宋_GB2312" w:eastAsia="仿宋_GB2312"/>
                <w:sz w:val="28"/>
                <w:szCs w:val="28"/>
              </w:rPr>
            </w:pPr>
            <w:r>
              <w:rPr>
                <w:rFonts w:hint="eastAsia" w:ascii="仿宋_GB2312" w:eastAsia="仿宋_GB2312"/>
                <w:sz w:val="28"/>
                <w:szCs w:val="28"/>
              </w:rPr>
              <w:t>引导办证经营（户）</w:t>
            </w:r>
          </w:p>
        </w:tc>
        <w:tc>
          <w:tcPr>
            <w:tcW w:w="2843" w:type="dxa"/>
            <w:vAlign w:val="top"/>
          </w:tcPr>
          <w:p>
            <w:pPr>
              <w:pStyle w:val="3"/>
              <w:spacing w:line="580" w:lineRule="exact"/>
              <w:ind w:firstLine="0"/>
              <w:rPr>
                <w:rFonts w:ascii="仿宋_GB2312" w:eastAsia="仿宋_GB231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5" w:type="dxa"/>
            <w:vAlign w:val="top"/>
          </w:tcPr>
          <w:p>
            <w:pPr>
              <w:pStyle w:val="3"/>
              <w:spacing w:line="580" w:lineRule="exact"/>
              <w:ind w:firstLine="0"/>
              <w:rPr>
                <w:rFonts w:ascii="仿宋_GB2312" w:eastAsia="仿宋_GB2312"/>
                <w:sz w:val="28"/>
                <w:szCs w:val="28"/>
              </w:rPr>
            </w:pPr>
            <w:r>
              <w:rPr>
                <w:rFonts w:hint="eastAsia" w:ascii="仿宋_GB2312" w:eastAsia="仿宋_GB2312"/>
                <w:sz w:val="28"/>
                <w:szCs w:val="28"/>
              </w:rPr>
              <w:t>3</w:t>
            </w:r>
          </w:p>
        </w:tc>
        <w:tc>
          <w:tcPr>
            <w:tcW w:w="5010" w:type="dxa"/>
            <w:vAlign w:val="top"/>
          </w:tcPr>
          <w:p>
            <w:pPr>
              <w:pStyle w:val="3"/>
              <w:spacing w:line="580" w:lineRule="exact"/>
              <w:ind w:firstLine="0"/>
              <w:rPr>
                <w:rFonts w:ascii="仿宋_GB2312" w:eastAsia="仿宋_GB2312"/>
                <w:sz w:val="28"/>
                <w:szCs w:val="28"/>
              </w:rPr>
            </w:pPr>
            <w:r>
              <w:rPr>
                <w:rFonts w:hint="eastAsia" w:ascii="仿宋_GB2312" w:eastAsia="仿宋_GB2312"/>
                <w:sz w:val="28"/>
                <w:szCs w:val="28"/>
              </w:rPr>
              <w:t>取缔无证经营行为（户）</w:t>
            </w:r>
          </w:p>
        </w:tc>
        <w:tc>
          <w:tcPr>
            <w:tcW w:w="2843" w:type="dxa"/>
            <w:vAlign w:val="top"/>
          </w:tcPr>
          <w:p>
            <w:pPr>
              <w:pStyle w:val="3"/>
              <w:spacing w:line="580" w:lineRule="exact"/>
              <w:ind w:firstLine="0"/>
              <w:rPr>
                <w:rFonts w:ascii="仿宋_GB2312" w:eastAsia="仿宋_GB231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5" w:type="dxa"/>
            <w:vAlign w:val="top"/>
          </w:tcPr>
          <w:p>
            <w:pPr>
              <w:pStyle w:val="3"/>
              <w:spacing w:line="580" w:lineRule="exact"/>
              <w:ind w:firstLine="0"/>
              <w:rPr>
                <w:rFonts w:ascii="仿宋_GB2312" w:eastAsia="仿宋_GB2312"/>
                <w:sz w:val="28"/>
                <w:szCs w:val="28"/>
              </w:rPr>
            </w:pPr>
            <w:r>
              <w:rPr>
                <w:rFonts w:hint="eastAsia" w:ascii="仿宋_GB2312" w:eastAsia="仿宋_GB2312"/>
                <w:sz w:val="28"/>
                <w:szCs w:val="28"/>
              </w:rPr>
              <w:t>4</w:t>
            </w:r>
          </w:p>
        </w:tc>
        <w:tc>
          <w:tcPr>
            <w:tcW w:w="5010" w:type="dxa"/>
            <w:vAlign w:val="top"/>
          </w:tcPr>
          <w:p>
            <w:pPr>
              <w:pStyle w:val="3"/>
              <w:spacing w:line="580" w:lineRule="exact"/>
              <w:ind w:firstLine="0"/>
              <w:rPr>
                <w:rFonts w:ascii="仿宋_GB2312" w:eastAsia="仿宋_GB2312"/>
                <w:sz w:val="28"/>
                <w:szCs w:val="28"/>
              </w:rPr>
            </w:pPr>
            <w:r>
              <w:rPr>
                <w:rFonts w:hint="eastAsia" w:ascii="仿宋_GB2312" w:eastAsia="仿宋_GB2312"/>
                <w:sz w:val="28"/>
                <w:szCs w:val="28"/>
              </w:rPr>
              <w:t>取缔无照经营行为（户）</w:t>
            </w:r>
          </w:p>
        </w:tc>
        <w:tc>
          <w:tcPr>
            <w:tcW w:w="2843" w:type="dxa"/>
            <w:vAlign w:val="top"/>
          </w:tcPr>
          <w:p>
            <w:pPr>
              <w:pStyle w:val="3"/>
              <w:spacing w:line="580" w:lineRule="exact"/>
              <w:ind w:firstLine="0"/>
              <w:rPr>
                <w:rFonts w:ascii="仿宋_GB2312" w:eastAsia="仿宋_GB231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5" w:type="dxa"/>
            <w:vAlign w:val="top"/>
          </w:tcPr>
          <w:p>
            <w:pPr>
              <w:pStyle w:val="3"/>
              <w:spacing w:line="580" w:lineRule="exact"/>
              <w:ind w:firstLine="0"/>
              <w:rPr>
                <w:rFonts w:ascii="仿宋_GB2312" w:eastAsia="仿宋_GB2312"/>
                <w:sz w:val="28"/>
                <w:szCs w:val="28"/>
              </w:rPr>
            </w:pPr>
            <w:r>
              <w:rPr>
                <w:rFonts w:hint="eastAsia" w:ascii="仿宋_GB2312" w:eastAsia="仿宋_GB2312"/>
                <w:sz w:val="28"/>
                <w:szCs w:val="28"/>
              </w:rPr>
              <w:t>5</w:t>
            </w:r>
          </w:p>
        </w:tc>
        <w:tc>
          <w:tcPr>
            <w:tcW w:w="5010" w:type="dxa"/>
            <w:vAlign w:val="top"/>
          </w:tcPr>
          <w:p>
            <w:pPr>
              <w:pStyle w:val="3"/>
              <w:spacing w:line="580" w:lineRule="exact"/>
              <w:ind w:firstLine="0"/>
              <w:rPr>
                <w:rFonts w:ascii="仿宋_GB2312" w:eastAsia="仿宋_GB2312"/>
                <w:sz w:val="28"/>
                <w:szCs w:val="28"/>
              </w:rPr>
            </w:pPr>
            <w:r>
              <w:rPr>
                <w:rFonts w:hint="eastAsia" w:ascii="仿宋_GB2312" w:eastAsia="仿宋_GB2312"/>
                <w:sz w:val="28"/>
                <w:szCs w:val="28"/>
              </w:rPr>
              <w:t>查处无证经营行为（户）</w:t>
            </w:r>
          </w:p>
        </w:tc>
        <w:tc>
          <w:tcPr>
            <w:tcW w:w="2843" w:type="dxa"/>
            <w:vAlign w:val="top"/>
          </w:tcPr>
          <w:p>
            <w:pPr>
              <w:pStyle w:val="3"/>
              <w:spacing w:line="580" w:lineRule="exact"/>
              <w:ind w:firstLine="0"/>
              <w:rPr>
                <w:rFonts w:ascii="仿宋_GB2312" w:eastAsia="仿宋_GB231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5" w:type="dxa"/>
            <w:vAlign w:val="top"/>
          </w:tcPr>
          <w:p>
            <w:pPr>
              <w:pStyle w:val="3"/>
              <w:spacing w:line="580" w:lineRule="exact"/>
              <w:ind w:firstLine="0"/>
              <w:rPr>
                <w:rFonts w:ascii="仿宋_GB2312" w:eastAsia="仿宋_GB2312"/>
                <w:sz w:val="28"/>
                <w:szCs w:val="28"/>
              </w:rPr>
            </w:pPr>
            <w:r>
              <w:rPr>
                <w:rFonts w:hint="eastAsia" w:ascii="仿宋_GB2312" w:eastAsia="仿宋_GB2312"/>
                <w:sz w:val="28"/>
                <w:szCs w:val="28"/>
              </w:rPr>
              <w:t>6</w:t>
            </w:r>
          </w:p>
        </w:tc>
        <w:tc>
          <w:tcPr>
            <w:tcW w:w="5010" w:type="dxa"/>
            <w:vAlign w:val="top"/>
          </w:tcPr>
          <w:p>
            <w:pPr>
              <w:pStyle w:val="3"/>
              <w:spacing w:line="580" w:lineRule="exact"/>
              <w:ind w:firstLine="0"/>
              <w:rPr>
                <w:rFonts w:ascii="仿宋_GB2312" w:eastAsia="仿宋_GB2312"/>
                <w:sz w:val="28"/>
                <w:szCs w:val="28"/>
              </w:rPr>
            </w:pPr>
            <w:r>
              <w:rPr>
                <w:rFonts w:hint="eastAsia" w:ascii="仿宋_GB2312" w:eastAsia="仿宋_GB2312"/>
                <w:sz w:val="28"/>
                <w:szCs w:val="28"/>
              </w:rPr>
              <w:t>查处无照经营行为（户）</w:t>
            </w:r>
          </w:p>
        </w:tc>
        <w:tc>
          <w:tcPr>
            <w:tcW w:w="2843" w:type="dxa"/>
            <w:vAlign w:val="top"/>
          </w:tcPr>
          <w:p>
            <w:pPr>
              <w:pStyle w:val="3"/>
              <w:spacing w:line="580" w:lineRule="exact"/>
              <w:ind w:firstLine="0"/>
              <w:rPr>
                <w:rFonts w:ascii="仿宋_GB2312" w:eastAsia="仿宋_GB231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5" w:type="dxa"/>
            <w:vAlign w:val="top"/>
          </w:tcPr>
          <w:p>
            <w:pPr>
              <w:pStyle w:val="3"/>
              <w:spacing w:line="580" w:lineRule="exact"/>
              <w:ind w:firstLine="0"/>
              <w:rPr>
                <w:rFonts w:ascii="仿宋_GB2312" w:eastAsia="仿宋_GB2312"/>
                <w:sz w:val="28"/>
                <w:szCs w:val="28"/>
              </w:rPr>
            </w:pPr>
            <w:r>
              <w:rPr>
                <w:rFonts w:hint="eastAsia" w:ascii="仿宋_GB2312" w:eastAsia="仿宋_GB2312"/>
                <w:sz w:val="28"/>
                <w:szCs w:val="28"/>
              </w:rPr>
              <w:t>7</w:t>
            </w:r>
          </w:p>
        </w:tc>
        <w:tc>
          <w:tcPr>
            <w:tcW w:w="5010" w:type="dxa"/>
            <w:vAlign w:val="top"/>
          </w:tcPr>
          <w:p>
            <w:pPr>
              <w:pStyle w:val="3"/>
              <w:spacing w:line="580" w:lineRule="exact"/>
              <w:ind w:firstLine="0"/>
              <w:rPr>
                <w:rFonts w:ascii="仿宋_GB2312" w:eastAsia="仿宋_GB2312"/>
                <w:sz w:val="28"/>
                <w:szCs w:val="28"/>
              </w:rPr>
            </w:pPr>
            <w:r>
              <w:rPr>
                <w:rFonts w:hint="eastAsia" w:ascii="仿宋_GB2312" w:eastAsia="仿宋_GB2312"/>
                <w:sz w:val="28"/>
                <w:szCs w:val="28"/>
              </w:rPr>
              <w:t>罚没金额（元）</w:t>
            </w:r>
          </w:p>
        </w:tc>
        <w:tc>
          <w:tcPr>
            <w:tcW w:w="2843" w:type="dxa"/>
            <w:vAlign w:val="top"/>
          </w:tcPr>
          <w:p>
            <w:pPr>
              <w:pStyle w:val="3"/>
              <w:spacing w:line="580" w:lineRule="exact"/>
              <w:ind w:firstLine="0"/>
              <w:rPr>
                <w:rFonts w:ascii="仿宋_GB2312" w:eastAsia="仿宋_GB231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5" w:type="dxa"/>
            <w:vAlign w:val="top"/>
          </w:tcPr>
          <w:p>
            <w:pPr>
              <w:pStyle w:val="3"/>
              <w:spacing w:line="580" w:lineRule="exact"/>
              <w:ind w:firstLine="0"/>
              <w:rPr>
                <w:rFonts w:ascii="仿宋_GB2312" w:eastAsia="仿宋_GB2312"/>
                <w:sz w:val="28"/>
                <w:szCs w:val="28"/>
              </w:rPr>
            </w:pPr>
            <w:r>
              <w:rPr>
                <w:rFonts w:hint="eastAsia" w:ascii="仿宋_GB2312" w:eastAsia="仿宋_GB2312"/>
                <w:sz w:val="28"/>
                <w:szCs w:val="28"/>
              </w:rPr>
              <w:t>8</w:t>
            </w:r>
          </w:p>
        </w:tc>
        <w:tc>
          <w:tcPr>
            <w:tcW w:w="5010" w:type="dxa"/>
            <w:vAlign w:val="top"/>
          </w:tcPr>
          <w:p>
            <w:pPr>
              <w:pStyle w:val="3"/>
              <w:spacing w:line="580" w:lineRule="exact"/>
              <w:ind w:firstLine="0"/>
              <w:rPr>
                <w:rFonts w:ascii="仿宋_GB2312" w:eastAsia="仿宋_GB2312"/>
                <w:sz w:val="28"/>
                <w:szCs w:val="28"/>
              </w:rPr>
            </w:pPr>
            <w:r>
              <w:rPr>
                <w:rFonts w:hint="eastAsia" w:ascii="仿宋_GB2312" w:eastAsia="仿宋_GB2312"/>
                <w:sz w:val="28"/>
                <w:szCs w:val="28"/>
              </w:rPr>
              <w:t>吊销相关行政许可审批（户）</w:t>
            </w:r>
          </w:p>
        </w:tc>
        <w:tc>
          <w:tcPr>
            <w:tcW w:w="2843" w:type="dxa"/>
            <w:vAlign w:val="top"/>
          </w:tcPr>
          <w:p>
            <w:pPr>
              <w:pStyle w:val="3"/>
              <w:spacing w:line="580" w:lineRule="exact"/>
              <w:ind w:firstLine="0"/>
              <w:rPr>
                <w:rFonts w:ascii="仿宋_GB2312" w:eastAsia="仿宋_GB231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5" w:type="dxa"/>
            <w:vAlign w:val="top"/>
          </w:tcPr>
          <w:p>
            <w:pPr>
              <w:pStyle w:val="3"/>
              <w:spacing w:line="580" w:lineRule="exact"/>
              <w:ind w:firstLine="0"/>
              <w:rPr>
                <w:rFonts w:ascii="仿宋_GB2312" w:eastAsia="仿宋_GB2312"/>
                <w:sz w:val="28"/>
                <w:szCs w:val="28"/>
              </w:rPr>
            </w:pPr>
            <w:r>
              <w:rPr>
                <w:rFonts w:hint="eastAsia" w:ascii="仿宋_GB2312" w:eastAsia="仿宋_GB2312"/>
                <w:sz w:val="28"/>
                <w:szCs w:val="28"/>
              </w:rPr>
              <w:t>9</w:t>
            </w:r>
          </w:p>
        </w:tc>
        <w:tc>
          <w:tcPr>
            <w:tcW w:w="5010" w:type="dxa"/>
            <w:vAlign w:val="top"/>
          </w:tcPr>
          <w:p>
            <w:pPr>
              <w:pStyle w:val="3"/>
              <w:spacing w:line="580" w:lineRule="exact"/>
              <w:ind w:firstLine="0"/>
              <w:rPr>
                <w:rFonts w:ascii="仿宋_GB2312" w:eastAsia="仿宋_GB2312"/>
                <w:sz w:val="28"/>
                <w:szCs w:val="28"/>
              </w:rPr>
            </w:pPr>
            <w:r>
              <w:rPr>
                <w:rFonts w:hint="eastAsia" w:ascii="仿宋_GB2312" w:eastAsia="仿宋_GB2312"/>
                <w:sz w:val="28"/>
                <w:szCs w:val="28"/>
              </w:rPr>
              <w:t>出动执法人次</w:t>
            </w:r>
          </w:p>
        </w:tc>
        <w:tc>
          <w:tcPr>
            <w:tcW w:w="2843" w:type="dxa"/>
            <w:vAlign w:val="top"/>
          </w:tcPr>
          <w:p>
            <w:pPr>
              <w:pStyle w:val="3"/>
              <w:spacing w:line="580" w:lineRule="exact"/>
              <w:ind w:firstLine="0"/>
              <w:rPr>
                <w:rFonts w:ascii="仿宋_GB2312" w:eastAsia="仿宋_GB231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5" w:type="dxa"/>
            <w:vAlign w:val="top"/>
          </w:tcPr>
          <w:p>
            <w:pPr>
              <w:pStyle w:val="3"/>
              <w:spacing w:line="580" w:lineRule="exact"/>
              <w:ind w:firstLine="0"/>
              <w:rPr>
                <w:rFonts w:ascii="仿宋_GB2312" w:eastAsia="仿宋_GB2312"/>
                <w:sz w:val="28"/>
                <w:szCs w:val="28"/>
              </w:rPr>
            </w:pPr>
            <w:r>
              <w:rPr>
                <w:rFonts w:hint="eastAsia" w:ascii="仿宋_GB2312" w:eastAsia="仿宋_GB2312"/>
                <w:sz w:val="28"/>
                <w:szCs w:val="28"/>
              </w:rPr>
              <w:t>10</w:t>
            </w:r>
          </w:p>
        </w:tc>
        <w:tc>
          <w:tcPr>
            <w:tcW w:w="5010" w:type="dxa"/>
            <w:vAlign w:val="top"/>
          </w:tcPr>
          <w:p>
            <w:pPr>
              <w:pStyle w:val="3"/>
              <w:spacing w:line="580" w:lineRule="exact"/>
              <w:ind w:firstLine="0"/>
              <w:rPr>
                <w:rFonts w:ascii="仿宋_GB2312" w:eastAsia="仿宋_GB2312"/>
                <w:sz w:val="28"/>
                <w:szCs w:val="28"/>
              </w:rPr>
            </w:pPr>
            <w:r>
              <w:rPr>
                <w:rFonts w:hint="eastAsia" w:ascii="仿宋_GB2312" w:eastAsia="仿宋_GB2312"/>
                <w:sz w:val="28"/>
                <w:szCs w:val="28"/>
              </w:rPr>
              <w:t>出动执法车辆</w:t>
            </w:r>
          </w:p>
        </w:tc>
        <w:tc>
          <w:tcPr>
            <w:tcW w:w="2843" w:type="dxa"/>
            <w:vAlign w:val="top"/>
          </w:tcPr>
          <w:p>
            <w:pPr>
              <w:pStyle w:val="3"/>
              <w:spacing w:line="580" w:lineRule="exact"/>
              <w:ind w:firstLine="0"/>
              <w:rPr>
                <w:rFonts w:ascii="仿宋_GB2312" w:eastAsia="仿宋_GB2312"/>
                <w:sz w:val="28"/>
                <w:szCs w:val="28"/>
              </w:rPr>
            </w:pPr>
          </w:p>
        </w:tc>
      </w:tr>
    </w:tbl>
    <w:p>
      <w:pPr>
        <w:pStyle w:val="3"/>
        <w:spacing w:line="580" w:lineRule="exact"/>
        <w:ind w:firstLine="0"/>
        <w:rPr>
          <w:rFonts w:ascii="仿宋_GB2312" w:eastAsia="仿宋_GB2312"/>
          <w:sz w:val="32"/>
          <w:szCs w:val="32"/>
        </w:rPr>
      </w:pPr>
    </w:p>
    <w:p>
      <w:bookmarkStart w:id="0" w:name="_GoBack"/>
      <w:bookmarkEnd w:id="0"/>
    </w:p>
    <w:sectPr>
      <w:headerReference r:id="rId3" w:type="default"/>
      <w:footerReference r:id="rId4" w:type="default"/>
      <w:footerReference r:id="rId5" w:type="even"/>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公文小标宋简">
    <w:altName w:val="宋体"/>
    <w:panose1 w:val="02010609010101010101"/>
    <w:charset w:val="86"/>
    <w:family w:val="moder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7"/>
      </w:rPr>
    </w:pPr>
    <w:r>
      <w:fldChar w:fldCharType="begin"/>
    </w:r>
    <w:r>
      <w:rPr>
        <w:rStyle w:val="7"/>
      </w:rPr>
      <w:instrText xml:space="preserve">PAGE  </w:instrText>
    </w:r>
    <w:r>
      <w:fldChar w:fldCharType="separate"/>
    </w:r>
    <w:r>
      <w:rPr>
        <w:rStyle w:val="7"/>
      </w:rPr>
      <w:t>1</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7"/>
      </w:rPr>
    </w:pPr>
    <w:r>
      <w:fldChar w:fldCharType="begin"/>
    </w:r>
    <w:r>
      <w:rPr>
        <w:rStyle w:val="7"/>
      </w:rPr>
      <w:instrText xml:space="preserve">PAGE  </w:instrText>
    </w:r>
    <w:r>
      <w:fldChar w:fldCharType="separate"/>
    </w:r>
    <w:r>
      <w:rPr>
        <w:rStyle w:val="7"/>
      </w:rPr>
      <w:t>4</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D1570E"/>
    <w:rsid w:val="27D1570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6">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2">
    <w:name w:val="Body Text Indent"/>
    <w:basedOn w:val="1"/>
    <w:uiPriority w:val="0"/>
    <w:pPr>
      <w:ind w:firstLine="560" w:firstLineChars="200"/>
    </w:pPr>
    <w:rPr>
      <w:sz w:val="28"/>
    </w:rPr>
  </w:style>
  <w:style w:type="paragraph" w:styleId="3">
    <w:name w:val="Body Text Indent 2"/>
    <w:basedOn w:val="1"/>
    <w:uiPriority w:val="0"/>
    <w:pPr>
      <w:spacing w:line="640" w:lineRule="exact"/>
      <w:ind w:firstLine="570"/>
    </w:pPr>
    <w:rPr>
      <w:rFonts w:ascii="宋体" w:hAnsi="宋体"/>
      <w:sz w:val="30"/>
    </w:rPr>
  </w:style>
  <w:style w:type="paragraph" w:styleId="4">
    <w:name w:val="footer"/>
    <w:basedOn w:val="1"/>
    <w:uiPriority w:val="0"/>
    <w:pPr>
      <w:tabs>
        <w:tab w:val="center" w:pos="4153"/>
        <w:tab w:val="right" w:pos="8306"/>
      </w:tabs>
      <w:snapToGrid w:val="0"/>
      <w:jc w:val="left"/>
    </w:pPr>
    <w:rPr>
      <w:sz w:val="18"/>
      <w:szCs w:val="18"/>
    </w:rPr>
  </w:style>
  <w:style w:type="paragraph" w:styleId="5">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uiPriority w:val="0"/>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2017-08-02T09:16:00Z</dcterms:created>
  <dc:creator>54</dc:creator>
  <cp:lastModifiedBy>54</cp:lastModifiedBy>
  <dcterms:modified xsi:type="dcterms:W3CDTF">2017-08-02T09:17:44Z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