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67F" w:rsidRDefault="00C7667F" w:rsidP="00C7667F">
      <w:r>
        <w:rPr>
          <w:rFonts w:eastAsia="Times New Roman"/>
          <w:noProof/>
        </w:rPr>
        <w:drawing>
          <wp:inline distT="0" distB="0" distL="0" distR="0">
            <wp:extent cx="5267325" cy="771525"/>
            <wp:effectExtent l="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
                    <a:srcRect/>
                    <a:stretch>
                      <a:fillRect/>
                    </a:stretch>
                  </pic:blipFill>
                  <pic:spPr bwMode="auto">
                    <a:xfrm>
                      <a:off x="0" y="0"/>
                      <a:ext cx="5267325" cy="771525"/>
                    </a:xfrm>
                    <a:prstGeom prst="rect">
                      <a:avLst/>
                    </a:prstGeom>
                    <a:noFill/>
                    <a:ln w="9525" cmpd="sng">
                      <a:noFill/>
                      <a:miter lim="800000"/>
                      <a:headEnd/>
                      <a:tailEnd/>
                    </a:ln>
                  </pic:spPr>
                </pic:pic>
              </a:graphicData>
            </a:graphic>
          </wp:inline>
        </w:drawing>
      </w:r>
    </w:p>
    <w:p w:rsidR="00C7667F" w:rsidRDefault="00C7667F" w:rsidP="00C7667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粤建质函〔2017〕306号</w:t>
      </w:r>
    </w:p>
    <w:p w:rsidR="00C7667F" w:rsidRDefault="00C7667F" w:rsidP="00C7667F">
      <w:pPr>
        <w:spacing w:line="560" w:lineRule="exact"/>
        <w:rPr>
          <w:rFonts w:ascii="仿宋_GB2312" w:eastAsia="仿宋_GB2312" w:hAnsi="仿宋_GB2312" w:cs="仿宋_GB2312"/>
          <w:sz w:val="32"/>
          <w:szCs w:val="32"/>
        </w:rPr>
      </w:pPr>
    </w:p>
    <w:p w:rsidR="00C7667F" w:rsidRDefault="00C7667F" w:rsidP="00C7667F">
      <w:pPr>
        <w:spacing w:line="560" w:lineRule="exact"/>
        <w:jc w:val="center"/>
        <w:rPr>
          <w:rFonts w:ascii="小标宋" w:eastAsia="小标宋" w:hAnsi="小标宋"/>
          <w:sz w:val="44"/>
          <w:szCs w:val="44"/>
        </w:rPr>
      </w:pPr>
      <w:r>
        <w:rPr>
          <w:rFonts w:ascii="小标宋" w:eastAsia="小标宋" w:hAnsi="小标宋" w:hint="eastAsia"/>
          <w:sz w:val="44"/>
          <w:szCs w:val="44"/>
        </w:rPr>
        <w:t>广东省住房和城乡建设厅关于2016年</w:t>
      </w:r>
    </w:p>
    <w:p w:rsidR="00C7667F" w:rsidRDefault="00C7667F" w:rsidP="00C7667F">
      <w:pPr>
        <w:spacing w:line="560" w:lineRule="exact"/>
        <w:jc w:val="center"/>
        <w:rPr>
          <w:rFonts w:ascii="小标宋" w:eastAsia="小标宋" w:hAnsi="小标宋"/>
          <w:sz w:val="44"/>
          <w:szCs w:val="44"/>
        </w:rPr>
      </w:pPr>
      <w:r>
        <w:rPr>
          <w:rFonts w:ascii="小标宋" w:eastAsia="小标宋" w:hAnsi="小标宋" w:hint="eastAsia"/>
          <w:sz w:val="44"/>
          <w:szCs w:val="44"/>
        </w:rPr>
        <w:t>全省建筑施工安全标准化评定工作情况的通报</w:t>
      </w:r>
    </w:p>
    <w:p w:rsidR="00C7667F" w:rsidRDefault="00C7667F" w:rsidP="00C7667F">
      <w:pPr>
        <w:spacing w:line="560" w:lineRule="exact"/>
        <w:rPr>
          <w:rFonts w:ascii="楷体" w:eastAsia="楷体" w:hAnsi="楷体"/>
          <w:b/>
          <w:bCs/>
          <w:sz w:val="44"/>
          <w:szCs w:val="44"/>
        </w:rPr>
      </w:pPr>
    </w:p>
    <w:p w:rsidR="00C7667F" w:rsidRDefault="00C7667F" w:rsidP="00C7667F">
      <w:pPr>
        <w:spacing w:line="560" w:lineRule="exact"/>
        <w:rPr>
          <w:rFonts w:ascii="仿宋_GB2312" w:eastAsia="仿宋_GB2312" w:hAnsi="仿宋_GB2312"/>
          <w:sz w:val="32"/>
          <w:szCs w:val="32"/>
        </w:rPr>
      </w:pPr>
      <w:r>
        <w:rPr>
          <w:rFonts w:ascii="仿宋_GB2312" w:eastAsia="仿宋_GB2312" w:hAnsi="仿宋_GB2312" w:hint="eastAsia"/>
          <w:sz w:val="32"/>
          <w:szCs w:val="32"/>
        </w:rPr>
        <w:t>各地级以上市及顺德区住房城乡建设主管部门：</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Ansi="仿宋_GB2312" w:hint="eastAsia"/>
          <w:sz w:val="32"/>
          <w:szCs w:val="32"/>
        </w:rPr>
        <w:t>根据《广东省住房和城乡建设厅关于启动全省建筑施工安全标准化评定工作的通知》（粤建质函〔2015〕2197号），我厅从</w:t>
      </w:r>
      <w:r>
        <w:rPr>
          <w:rFonts w:ascii="仿宋_GB2312" w:eastAsia="仿宋_GB2312" w:hint="eastAsia"/>
          <w:sz w:val="32"/>
          <w:szCs w:val="32"/>
        </w:rPr>
        <w:t>2015年9月1日起开展全省建筑施工安全标准化评定工作。现将有关情况通报如下：</w:t>
      </w:r>
    </w:p>
    <w:p w:rsidR="00C7667F" w:rsidRDefault="00C7667F" w:rsidP="00C7667F">
      <w:pPr>
        <w:spacing w:line="560" w:lineRule="exact"/>
        <w:ind w:firstLineChars="200" w:firstLine="640"/>
        <w:rPr>
          <w:rFonts w:ascii="黑体" w:eastAsia="黑体" w:hAnsi="黑体"/>
          <w:sz w:val="32"/>
          <w:szCs w:val="32"/>
        </w:rPr>
      </w:pPr>
      <w:r>
        <w:rPr>
          <w:rFonts w:ascii="黑体" w:eastAsia="黑体" w:hAnsi="黑体" w:hint="eastAsia"/>
          <w:sz w:val="32"/>
          <w:szCs w:val="32"/>
        </w:rPr>
        <w:t>一、基本情况</w:t>
      </w:r>
    </w:p>
    <w:p w:rsidR="00C7667F" w:rsidRDefault="00C7667F" w:rsidP="00C7667F">
      <w:pPr>
        <w:spacing w:line="560" w:lineRule="exact"/>
        <w:ind w:firstLineChars="200" w:firstLine="640"/>
        <w:rPr>
          <w:rFonts w:ascii="楷体_GB2312" w:eastAsia="楷体_GB2312" w:hAnsi="楷体_GB2312"/>
          <w:sz w:val="32"/>
          <w:szCs w:val="32"/>
        </w:rPr>
      </w:pPr>
      <w:r>
        <w:rPr>
          <w:rFonts w:ascii="楷体_GB2312" w:eastAsia="楷体_GB2312" w:hAnsi="楷体_GB2312" w:hint="eastAsia"/>
          <w:sz w:val="32"/>
          <w:szCs w:val="32"/>
        </w:rPr>
        <w:t>（一）全省各地区开展评定情况</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全省21个地级以上市及顺德区的138个县（区）级安监机构，已对所监管的项目开展标准化评定工作。其中广州、佛山、江门、东莞、中山、清远等市和顺德区评定工作开展较好，评定信息相对较完整。</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目前尚有以下个别区县（镇）级安监机构未开展标准化评定：深圳市大鹏新区站，珠海市万山海洋开发试验区，韶关市浈江区站，揭阳市惠来县站（详见附件1）。此外，部分地区安监机构（评定机构）登录标准化评定系统频次偏低，反映该地区标准化评定工作未扎实开展（详见附件2）。</w:t>
      </w:r>
    </w:p>
    <w:p w:rsidR="00C7667F" w:rsidRDefault="00C7667F" w:rsidP="00C7667F">
      <w:pPr>
        <w:spacing w:line="560" w:lineRule="exact"/>
        <w:ind w:firstLineChars="200" w:firstLine="640"/>
        <w:rPr>
          <w:rFonts w:ascii="楷体_GB2312" w:eastAsia="楷体_GB2312" w:hAnsi="楷体_GB2312"/>
          <w:sz w:val="32"/>
          <w:szCs w:val="32"/>
        </w:rPr>
      </w:pPr>
      <w:r>
        <w:rPr>
          <w:rFonts w:ascii="楷体_GB2312" w:eastAsia="楷体_GB2312" w:hAnsi="楷体_GB2312" w:hint="eastAsia"/>
          <w:sz w:val="32"/>
          <w:szCs w:val="32"/>
        </w:rPr>
        <w:t>（二）建筑施工企业开展评定情况</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1.企业注册账号</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经统计，共有2998家建筑施工企业注册账号，其中省内企业2475家，省外企业523家。</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2.建筑施工项目登记及标准化评定情况</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截至2016年12月31日，全省已有17305项建筑施工项目在安全标准化评定系统中登记信息，其中安监机构正式受理的项目15982个，有3803个项目形成了标准化评定意见，优良205项，合格3588项，不合格10项。</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3.建筑施工企业标准化评定情况</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2016年全年，我省已有284家建筑施工企业形成了建筑施工企业安全生产标准化评定，其中优良2家，合格276家，不合格6家。</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对安全标准化评定系统中已注册的省内施工企业安全生产许可证到期情况进行统计，有303家安全生产许可证已到期，尚未提出企业标准化评定申请。到2017年3月31日止将有720家施工企业安全生产许可证到期，须办理企业标准化评定。</w:t>
      </w:r>
    </w:p>
    <w:p w:rsidR="00C7667F" w:rsidRDefault="00C7667F" w:rsidP="00C7667F">
      <w:pPr>
        <w:spacing w:line="560" w:lineRule="exact"/>
        <w:ind w:firstLineChars="200" w:firstLine="640"/>
        <w:rPr>
          <w:rFonts w:ascii="黑体" w:eastAsia="黑体" w:hAnsi="黑体"/>
          <w:sz w:val="32"/>
          <w:szCs w:val="32"/>
        </w:rPr>
      </w:pPr>
      <w:r>
        <w:rPr>
          <w:rFonts w:ascii="黑体" w:eastAsia="黑体" w:hAnsi="黑体" w:hint="eastAsia"/>
          <w:sz w:val="32"/>
          <w:szCs w:val="32"/>
        </w:rPr>
        <w:t>二、存在问题</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综合以上情况，反映出当前我省建筑施工安全标准化评定工作仍未能全面实施，主要表现为两个方面：</w:t>
      </w:r>
    </w:p>
    <w:p w:rsidR="00C7667F" w:rsidRDefault="00C7667F" w:rsidP="00C7667F">
      <w:pPr>
        <w:spacing w:line="560" w:lineRule="exact"/>
        <w:ind w:firstLineChars="200" w:firstLine="640"/>
        <w:rPr>
          <w:rFonts w:ascii="仿宋_GB2312" w:eastAsia="仿宋_GB2312"/>
          <w:sz w:val="32"/>
          <w:szCs w:val="32"/>
        </w:rPr>
      </w:pPr>
      <w:r>
        <w:rPr>
          <w:rFonts w:ascii="楷体_GB2312" w:eastAsia="楷体_GB2312" w:hAnsi="楷体_GB2312" w:hint="eastAsia"/>
          <w:sz w:val="32"/>
          <w:szCs w:val="32"/>
        </w:rPr>
        <w:t>（一）安监机构的项目安全标准化考评工作进展不力。</w:t>
      </w:r>
      <w:r>
        <w:rPr>
          <w:rFonts w:ascii="仿宋_GB2312" w:eastAsia="仿宋_GB2312" w:hint="eastAsia"/>
          <w:sz w:val="32"/>
          <w:szCs w:val="32"/>
        </w:rPr>
        <w:t>大部分安监机构的安全标准化评定覆盖范围小，有少部分安监机构仍未开展安全标准化评定工作，根据“广东省房屋市政工程质量安全监管平台”（以下简称“监管平台”）数据显示，当前登记在“监管平台”上的在建工程共有22156项（已剔除完工未验收及未开</w:t>
      </w:r>
      <w:r>
        <w:rPr>
          <w:rFonts w:ascii="仿宋_GB2312" w:eastAsia="仿宋_GB2312" w:hint="eastAsia"/>
          <w:sz w:val="32"/>
          <w:szCs w:val="32"/>
        </w:rPr>
        <w:lastRenderedPageBreak/>
        <w:t>工的工程），其中经安监机构审核，纳入安全生产标准化管理的项目有11464项，仅占51.7%（详见附件3），导致项目安全标准化评定统计信息不完整，影响企业评定的准确性。</w:t>
      </w:r>
    </w:p>
    <w:p w:rsidR="00C7667F" w:rsidRDefault="00C7667F" w:rsidP="00C7667F">
      <w:pPr>
        <w:spacing w:line="560" w:lineRule="exact"/>
        <w:ind w:firstLineChars="200" w:firstLine="640"/>
        <w:rPr>
          <w:rFonts w:ascii="仿宋_GB2312" w:eastAsia="仿宋_GB2312"/>
          <w:sz w:val="32"/>
          <w:szCs w:val="32"/>
        </w:rPr>
      </w:pPr>
      <w:r>
        <w:rPr>
          <w:rFonts w:ascii="楷体_GB2312" w:eastAsia="楷体_GB2312" w:hAnsi="楷体_GB2312" w:hint="eastAsia"/>
          <w:sz w:val="32"/>
          <w:szCs w:val="32"/>
        </w:rPr>
        <w:t>（二）大部分企业尚未开展企业安全标准化评定工作。</w:t>
      </w:r>
      <w:r>
        <w:rPr>
          <w:rFonts w:ascii="仿宋_GB2312" w:eastAsia="仿宋_GB2312" w:hint="eastAsia"/>
          <w:sz w:val="32"/>
          <w:szCs w:val="32"/>
        </w:rPr>
        <w:t>在“三库一平台”中登记的建筑施工企业共有9198家（包含省外企业），而在安全标准化评定系统中注册的只有2998家，仅占32.6%。</w:t>
      </w:r>
      <w:r>
        <w:rPr>
          <w:rFonts w:ascii="仿宋_GB2312" w:eastAsia="仿宋_GB2312"/>
          <w:sz w:val="32"/>
          <w:szCs w:val="32"/>
        </w:rPr>
        <w:t xml:space="preserve"> </w:t>
      </w:r>
    </w:p>
    <w:p w:rsidR="00C7667F" w:rsidRDefault="00C7667F" w:rsidP="00C7667F">
      <w:pPr>
        <w:spacing w:line="560" w:lineRule="exact"/>
        <w:ind w:firstLineChars="200" w:firstLine="640"/>
        <w:rPr>
          <w:rFonts w:ascii="黑体" w:eastAsia="黑体" w:hAnsi="黑体"/>
          <w:sz w:val="32"/>
          <w:szCs w:val="32"/>
        </w:rPr>
      </w:pPr>
      <w:r>
        <w:rPr>
          <w:rFonts w:ascii="黑体" w:eastAsia="黑体" w:hAnsi="黑体" w:hint="eastAsia"/>
          <w:sz w:val="32"/>
          <w:szCs w:val="32"/>
        </w:rPr>
        <w:t>三、下一步工作计划</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安全生产标准化考评是一项重要和严肃的工作，下一步我厅将实现企业安全生产许可证延期与安全标准化评定结果挂钩，对评定不合格或不按照规定申报评定的企业，不予延期，责令整改，严格依据相关规定督促企业开展评定工作。</w:t>
      </w:r>
    </w:p>
    <w:p w:rsidR="00C7667F" w:rsidRDefault="00C7667F" w:rsidP="00C7667F">
      <w:pPr>
        <w:spacing w:line="560" w:lineRule="exact"/>
        <w:rPr>
          <w:rFonts w:ascii="仿宋_GB2312" w:eastAsia="仿宋_GB2312"/>
          <w:sz w:val="32"/>
          <w:szCs w:val="32"/>
        </w:rPr>
      </w:pP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附件：1.2016年度全省安监机构标准化评定开展情况统计</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表</w:t>
      </w:r>
    </w:p>
    <w:p w:rsidR="00C7667F" w:rsidRDefault="00C7667F" w:rsidP="00C7667F">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2.标准化评定系统登录次数偏少机构汇总表</w:t>
      </w:r>
    </w:p>
    <w:p w:rsidR="00C7667F" w:rsidRDefault="00C7667F" w:rsidP="00C7667F">
      <w:pPr>
        <w:spacing w:line="560" w:lineRule="exact"/>
        <w:rPr>
          <w:rFonts w:ascii="仿宋_GB2312" w:eastAsia="仿宋_GB2312"/>
          <w:sz w:val="32"/>
          <w:szCs w:val="32"/>
        </w:rPr>
      </w:pPr>
      <w:r>
        <w:rPr>
          <w:rFonts w:ascii="黑体" w:eastAsia="黑体" w:hAnsi="黑体" w:hint="eastAsia"/>
          <w:sz w:val="32"/>
          <w:szCs w:val="32"/>
        </w:rPr>
        <w:t xml:space="preserve">   </w:t>
      </w:r>
      <w:r>
        <w:rPr>
          <w:rFonts w:ascii="仿宋_GB2312" w:eastAsia="仿宋_GB2312" w:hint="eastAsia"/>
          <w:sz w:val="32"/>
          <w:szCs w:val="32"/>
        </w:rPr>
        <w:t xml:space="preserve">       3.2016年度全省在建项目标准化评定开展情况统计</w:t>
      </w:r>
    </w:p>
    <w:p w:rsidR="00C7667F" w:rsidRDefault="00C7667F" w:rsidP="00C7667F">
      <w:pPr>
        <w:spacing w:line="560" w:lineRule="exact"/>
        <w:rPr>
          <w:rFonts w:ascii="仿宋_GB2312" w:eastAsia="仿宋_GB2312"/>
          <w:sz w:val="32"/>
          <w:szCs w:val="32"/>
        </w:rPr>
      </w:pPr>
      <w:r>
        <w:rPr>
          <w:rFonts w:ascii="仿宋_GB2312" w:eastAsia="仿宋_GB2312" w:hAnsi="仿宋_GB2312" w:cs="仿宋_GB2312"/>
          <w:noProof/>
          <w:sz w:val="32"/>
          <w:szCs w:val="32"/>
        </w:rPr>
        <w:drawing>
          <wp:anchor distT="0" distB="0" distL="114300" distR="114300" simplePos="0" relativeHeight="251660288" behindDoc="1" locked="0" layoutInCell="1" allowOverlap="1">
            <wp:simplePos x="0" y="0"/>
            <wp:positionH relativeFrom="column">
              <wp:posOffset>3420745</wp:posOffset>
            </wp:positionH>
            <wp:positionV relativeFrom="paragraph">
              <wp:posOffset>250190</wp:posOffset>
            </wp:positionV>
            <wp:extent cx="1600200" cy="1609725"/>
            <wp:effectExtent l="38100" t="0" r="19050" b="0"/>
            <wp:wrapNone/>
            <wp:docPr id="2" name="图片 2" descr="印章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印章 "/>
                    <pic:cNvPicPr>
                      <a:picLocks noChangeAspect="1" noChangeArrowheads="1"/>
                    </pic:cNvPicPr>
                  </pic:nvPicPr>
                  <pic:blipFill>
                    <a:blip r:embed="rId5"/>
                    <a:srcRect/>
                    <a:stretch>
                      <a:fillRect/>
                    </a:stretch>
                  </pic:blipFill>
                  <pic:spPr bwMode="auto">
                    <a:xfrm rot="540000">
                      <a:off x="0" y="0"/>
                      <a:ext cx="1600200" cy="1609725"/>
                    </a:xfrm>
                    <a:prstGeom prst="rect">
                      <a:avLst/>
                    </a:prstGeom>
                    <a:noFill/>
                    <a:ln w="9525" cmpd="sng">
                      <a:noFill/>
                      <a:miter lim="800000"/>
                      <a:headEnd/>
                      <a:tailEnd/>
                    </a:ln>
                  </pic:spPr>
                </pic:pic>
              </a:graphicData>
            </a:graphic>
          </wp:anchor>
        </w:drawing>
      </w:r>
      <w:r>
        <w:rPr>
          <w:rFonts w:ascii="仿宋_GB2312" w:eastAsia="仿宋_GB2312" w:hint="eastAsia"/>
          <w:sz w:val="32"/>
          <w:szCs w:val="32"/>
        </w:rPr>
        <w:t xml:space="preserve">            表</w:t>
      </w:r>
    </w:p>
    <w:p w:rsidR="00C7667F" w:rsidRDefault="00C7667F" w:rsidP="00C7667F">
      <w:pPr>
        <w:spacing w:line="560" w:lineRule="exact"/>
        <w:rPr>
          <w:rFonts w:ascii="仿宋_GB2312" w:eastAsia="仿宋_GB2312" w:hAnsi="仿宋_GB2312" w:cs="仿宋_GB2312"/>
          <w:sz w:val="32"/>
          <w:szCs w:val="32"/>
        </w:rPr>
      </w:pPr>
    </w:p>
    <w:p w:rsidR="00C7667F" w:rsidRDefault="00C7667F" w:rsidP="00C7667F">
      <w:pPr>
        <w:spacing w:line="560" w:lineRule="exact"/>
        <w:rPr>
          <w:rFonts w:ascii="仿宋_GB2312" w:eastAsia="仿宋_GB2312" w:hAnsi="仿宋_GB2312" w:cs="仿宋_GB2312"/>
          <w:sz w:val="32"/>
          <w:szCs w:val="32"/>
        </w:rPr>
      </w:pPr>
    </w:p>
    <w:p w:rsidR="00C7667F" w:rsidRDefault="00C7667F" w:rsidP="00C7667F">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广东省住房和城乡建设厅</w:t>
      </w:r>
    </w:p>
    <w:p w:rsidR="00C7667F" w:rsidRDefault="00C7667F" w:rsidP="00C7667F">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2017年1月24日</w:t>
      </w:r>
    </w:p>
    <w:p w:rsidR="00C7667F" w:rsidRDefault="00C7667F" w:rsidP="00C7667F">
      <w:pPr>
        <w:spacing w:line="560" w:lineRule="exact"/>
        <w:rPr>
          <w:rFonts w:ascii="仿宋_GB2312" w:eastAsia="仿宋_GB2312" w:hAnsi="仿宋_GB2312" w:cs="仿宋_GB2312"/>
          <w:sz w:val="32"/>
          <w:szCs w:val="32"/>
        </w:rPr>
      </w:pPr>
    </w:p>
    <w:p w:rsidR="00C7667F" w:rsidRDefault="00C7667F" w:rsidP="00C7667F">
      <w:pPr>
        <w:spacing w:line="560" w:lineRule="exact"/>
        <w:rPr>
          <w:rFonts w:ascii="黑体" w:eastAsia="黑体" w:hAnsi="黑体" w:cs="黑体"/>
          <w:sz w:val="32"/>
          <w:szCs w:val="32"/>
        </w:rPr>
      </w:pPr>
      <w:r>
        <w:rPr>
          <w:rFonts w:ascii="黑体" w:eastAsia="黑体" w:hAnsi="黑体" w:cs="黑体" w:hint="eastAsia"/>
          <w:sz w:val="32"/>
          <w:szCs w:val="32"/>
        </w:rPr>
        <w:t>公开方式：主动公开</w:t>
      </w:r>
    </w:p>
    <w:p w:rsidR="00C7667F" w:rsidRDefault="00C7667F" w:rsidP="00C7667F">
      <w:pPr>
        <w:spacing w:line="560" w:lineRule="exact"/>
        <w:rPr>
          <w:rFonts w:ascii="仿宋_GB2312" w:eastAsia="仿宋_GB2312"/>
          <w:sz w:val="32"/>
          <w:szCs w:val="32"/>
        </w:rPr>
      </w:pPr>
      <w:r>
        <w:rPr>
          <w:rFonts w:ascii="黑体" w:eastAsia="黑体" w:hAnsi="黑体" w:cs="黑体" w:hint="eastAsia"/>
          <w:sz w:val="32"/>
          <w:szCs w:val="32"/>
        </w:rPr>
        <w:br w:type="page"/>
      </w:r>
      <w:r>
        <w:rPr>
          <w:rFonts w:ascii="黑体" w:eastAsia="黑体" w:hAnsi="黑体" w:hint="eastAsia"/>
          <w:sz w:val="32"/>
          <w:szCs w:val="32"/>
        </w:rPr>
        <w:lastRenderedPageBreak/>
        <w:t>附件1</w:t>
      </w:r>
    </w:p>
    <w:p w:rsidR="00C7667F" w:rsidRDefault="00C7667F" w:rsidP="00C7667F">
      <w:pPr>
        <w:jc w:val="center"/>
        <w:rPr>
          <w:rFonts w:ascii="楷体" w:eastAsia="楷体" w:hAnsi="楷体"/>
          <w:b/>
          <w:sz w:val="36"/>
          <w:szCs w:val="36"/>
        </w:rPr>
      </w:pPr>
      <w:r>
        <w:rPr>
          <w:rFonts w:ascii="楷体" w:eastAsia="楷体" w:hAnsi="楷体" w:cs="宋体" w:hint="eastAsia"/>
          <w:b/>
          <w:color w:val="000000"/>
          <w:kern w:val="0"/>
          <w:sz w:val="36"/>
          <w:szCs w:val="36"/>
        </w:rPr>
        <w:t>2016年度全省安监机构标准化评定开展情况统计表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3"/>
        <w:gridCol w:w="1982"/>
        <w:gridCol w:w="1392"/>
        <w:gridCol w:w="992"/>
        <w:gridCol w:w="993"/>
        <w:gridCol w:w="851"/>
        <w:gridCol w:w="709"/>
        <w:gridCol w:w="709"/>
      </w:tblGrid>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地区/</w:t>
            </w:r>
          </w:p>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属地</w:t>
            </w:r>
          </w:p>
        </w:tc>
        <w:tc>
          <w:tcPr>
            <w:tcW w:w="1982"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评定主体</w:t>
            </w:r>
          </w:p>
        </w:tc>
        <w:tc>
          <w:tcPr>
            <w:tcW w:w="1392" w:type="dxa"/>
            <w:vMerge w:val="restart"/>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监督机构未受理的项目</w:t>
            </w:r>
          </w:p>
        </w:tc>
        <w:tc>
          <w:tcPr>
            <w:tcW w:w="992" w:type="dxa"/>
            <w:vMerge w:val="restart"/>
            <w:vAlign w:val="center"/>
          </w:tcPr>
          <w:p w:rsidR="00C7667F" w:rsidRDefault="00C7667F" w:rsidP="00972F20">
            <w:pPr>
              <w:jc w:val="center"/>
              <w:rPr>
                <w:rFonts w:ascii="宋体" w:hAnsi="宋体" w:cs="宋体"/>
                <w:kern w:val="0"/>
                <w:sz w:val="22"/>
              </w:rPr>
            </w:pPr>
            <w:r>
              <w:rPr>
                <w:rFonts w:ascii="宋体" w:hAnsi="宋体" w:cs="宋体" w:hint="eastAsia"/>
                <w:kern w:val="0"/>
                <w:sz w:val="22"/>
              </w:rPr>
              <w:t>正在办理标准化评定的项目</w:t>
            </w:r>
          </w:p>
        </w:tc>
        <w:tc>
          <w:tcPr>
            <w:tcW w:w="3262" w:type="dxa"/>
            <w:gridSpan w:val="4"/>
            <w:vAlign w:val="center"/>
          </w:tcPr>
          <w:p w:rsidR="00C7667F" w:rsidRDefault="00C7667F" w:rsidP="00972F20">
            <w:pPr>
              <w:widowControl/>
              <w:jc w:val="center"/>
              <w:rPr>
                <w:rFonts w:eastAsia="Times New Roman"/>
                <w:kern w:val="0"/>
                <w:sz w:val="20"/>
                <w:szCs w:val="20"/>
              </w:rPr>
            </w:pPr>
            <w:r>
              <w:rPr>
                <w:rFonts w:ascii="宋体" w:hAnsi="宋体" w:cs="宋体" w:hint="eastAsia"/>
                <w:kern w:val="0"/>
                <w:sz w:val="22"/>
              </w:rPr>
              <w:t>已生成评定结论的项目</w:t>
            </w:r>
          </w:p>
        </w:tc>
      </w:tr>
      <w:tr w:rsidR="00C7667F" w:rsidTr="00972F20">
        <w:trPr>
          <w:trHeight w:val="945"/>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Merge/>
            <w:vAlign w:val="center"/>
          </w:tcPr>
          <w:p w:rsidR="00C7667F" w:rsidRDefault="00C7667F" w:rsidP="00972F20">
            <w:pPr>
              <w:widowControl/>
              <w:jc w:val="left"/>
              <w:rPr>
                <w:rFonts w:ascii="宋体" w:hAnsi="宋体" w:cs="宋体"/>
                <w:color w:val="000000"/>
                <w:kern w:val="0"/>
                <w:sz w:val="22"/>
              </w:rPr>
            </w:pPr>
          </w:p>
        </w:tc>
        <w:tc>
          <w:tcPr>
            <w:tcW w:w="1392" w:type="dxa"/>
            <w:vMerge/>
            <w:vAlign w:val="center"/>
          </w:tcPr>
          <w:p w:rsidR="00C7667F" w:rsidRDefault="00C7667F" w:rsidP="00972F20">
            <w:pPr>
              <w:widowControl/>
              <w:jc w:val="left"/>
              <w:rPr>
                <w:rFonts w:ascii="宋体" w:hAnsi="宋体" w:cs="宋体"/>
                <w:kern w:val="0"/>
                <w:sz w:val="22"/>
              </w:rPr>
            </w:pPr>
          </w:p>
        </w:tc>
        <w:tc>
          <w:tcPr>
            <w:tcW w:w="992" w:type="dxa"/>
            <w:vMerge/>
            <w:vAlign w:val="center"/>
          </w:tcPr>
          <w:p w:rsidR="00C7667F" w:rsidRDefault="00C7667F" w:rsidP="00972F20">
            <w:pPr>
              <w:widowControl/>
              <w:jc w:val="center"/>
              <w:rPr>
                <w:rFonts w:ascii="宋体" w:hAnsi="宋体" w:cs="宋体"/>
                <w:kern w:val="0"/>
                <w:sz w:val="22"/>
              </w:rPr>
            </w:pPr>
          </w:p>
        </w:tc>
        <w:tc>
          <w:tcPr>
            <w:tcW w:w="993"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不合格</w:t>
            </w:r>
          </w:p>
        </w:tc>
        <w:tc>
          <w:tcPr>
            <w:tcW w:w="851"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合格</w:t>
            </w:r>
          </w:p>
        </w:tc>
        <w:tc>
          <w:tcPr>
            <w:tcW w:w="709"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优良</w:t>
            </w:r>
          </w:p>
        </w:tc>
        <w:tc>
          <w:tcPr>
            <w:tcW w:w="709"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r>
      <w:tr w:rsidR="00C7667F" w:rsidTr="00972F20">
        <w:trPr>
          <w:trHeight w:val="270"/>
          <w:jc w:val="center"/>
        </w:trPr>
        <w:tc>
          <w:tcPr>
            <w:tcW w:w="1033" w:type="dxa"/>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省属</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省总站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广州市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广州市站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广州市市政站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荔湾区站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越秀区站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海珠区站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天河区站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白云区站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黄埔区站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番禺区站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花都区站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南沙区站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开发区站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增城市站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从化市站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66</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1266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481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538</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深圳市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深圳市房建、市政两站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罗湖区站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福田区站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南山区站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26</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宝安区站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龙岗区站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盐田区站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坪山新区站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光明新区站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龙华新区站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b/>
                <w:bCs/>
                <w:i/>
                <w:iCs/>
                <w:kern w:val="0"/>
                <w:sz w:val="24"/>
                <w:szCs w:val="24"/>
              </w:rPr>
            </w:pPr>
            <w:r>
              <w:rPr>
                <w:rFonts w:ascii="宋体" w:hAnsi="宋体" w:cs="宋体" w:hint="eastAsia"/>
                <w:b/>
                <w:bCs/>
                <w:i/>
                <w:iCs/>
                <w:kern w:val="0"/>
                <w:sz w:val="24"/>
                <w:szCs w:val="24"/>
              </w:rPr>
              <w:t>大鹏新区站</w:t>
            </w:r>
          </w:p>
        </w:tc>
        <w:tc>
          <w:tcPr>
            <w:tcW w:w="1392"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3</w:t>
            </w:r>
          </w:p>
        </w:tc>
        <w:tc>
          <w:tcPr>
            <w:tcW w:w="992"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0</w:t>
            </w:r>
          </w:p>
        </w:tc>
        <w:tc>
          <w:tcPr>
            <w:tcW w:w="993"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0</w:t>
            </w:r>
          </w:p>
        </w:tc>
        <w:tc>
          <w:tcPr>
            <w:tcW w:w="851"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0</w:t>
            </w:r>
          </w:p>
        </w:tc>
        <w:tc>
          <w:tcPr>
            <w:tcW w:w="709"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0</w:t>
            </w:r>
          </w:p>
        </w:tc>
        <w:tc>
          <w:tcPr>
            <w:tcW w:w="709" w:type="dxa"/>
            <w:vAlign w:val="center"/>
          </w:tcPr>
          <w:p w:rsidR="00C7667F" w:rsidRDefault="00C7667F" w:rsidP="00972F20">
            <w:pPr>
              <w:widowControl/>
              <w:jc w:val="center"/>
              <w:rPr>
                <w:rFonts w:ascii="宋体" w:hAnsi="宋体" w:cs="宋体"/>
                <w:b/>
                <w:bCs/>
                <w:i/>
                <w:iCs/>
                <w:kern w:val="0"/>
                <w:sz w:val="24"/>
                <w:szCs w:val="24"/>
              </w:rPr>
            </w:pPr>
            <w:r>
              <w:rPr>
                <w:rFonts w:ascii="宋体" w:hAnsi="宋体" w:cs="宋体" w:hint="eastAsia"/>
                <w:b/>
                <w:bCs/>
                <w:i/>
                <w:iCs/>
                <w:kern w:val="0"/>
                <w:sz w:val="24"/>
                <w:szCs w:val="24"/>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464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75</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珠海市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珠海市站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香洲区站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斗门区站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67</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金湾区站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高栏港经济区站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横琴新区站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b/>
                <w:bCs/>
                <w:i/>
                <w:iCs/>
                <w:kern w:val="0"/>
                <w:sz w:val="22"/>
              </w:rPr>
            </w:pPr>
            <w:r>
              <w:rPr>
                <w:rFonts w:ascii="宋体" w:hAnsi="宋体" w:cs="宋体" w:hint="eastAsia"/>
                <w:b/>
                <w:bCs/>
                <w:i/>
                <w:iCs/>
                <w:kern w:val="0"/>
                <w:sz w:val="22"/>
              </w:rPr>
              <w:t>万山海洋开发试验区站</w:t>
            </w:r>
          </w:p>
        </w:tc>
        <w:tc>
          <w:tcPr>
            <w:tcW w:w="1392"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992" w:type="dxa"/>
            <w:vAlign w:val="center"/>
          </w:tcPr>
          <w:p w:rsidR="00C7667F" w:rsidRDefault="00C7667F" w:rsidP="00972F20">
            <w:pPr>
              <w:widowControl/>
              <w:jc w:val="center"/>
              <w:rPr>
                <w:rFonts w:ascii="宋体" w:hAnsi="宋体" w:cs="宋体"/>
                <w:i/>
                <w:iCs/>
                <w:kern w:val="0"/>
                <w:sz w:val="22"/>
              </w:rPr>
            </w:pPr>
            <w:r>
              <w:rPr>
                <w:rFonts w:ascii="宋体" w:hAnsi="宋体" w:cs="宋体" w:hint="eastAsia"/>
                <w:i/>
                <w:iCs/>
                <w:kern w:val="0"/>
                <w:sz w:val="22"/>
              </w:rPr>
              <w:t>0</w:t>
            </w:r>
          </w:p>
        </w:tc>
        <w:tc>
          <w:tcPr>
            <w:tcW w:w="993"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851"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709"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709" w:type="dxa"/>
            <w:vAlign w:val="center"/>
          </w:tcPr>
          <w:p w:rsidR="00C7667F" w:rsidRDefault="00C7667F" w:rsidP="00972F20">
            <w:pPr>
              <w:widowControl/>
              <w:jc w:val="center"/>
              <w:rPr>
                <w:rFonts w:ascii="宋体" w:hAnsi="宋体" w:cs="宋体"/>
                <w:i/>
                <w:iCs/>
                <w:kern w:val="0"/>
                <w:sz w:val="22"/>
              </w:rPr>
            </w:pPr>
            <w:r>
              <w:rPr>
                <w:rFonts w:ascii="宋体" w:hAnsi="宋体" w:cs="宋体" w:hint="eastAsia"/>
                <w:i/>
                <w:iCs/>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351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91</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汕头市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汕头市站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龙湖区站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金平区站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濠江区站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潮阳区站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潮南区站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澄海区站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南澳县站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59</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佛山市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佛山市站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禅城区站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南海区站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149</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1458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668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677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三水区站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佛山新城住建局</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2098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855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884</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韶关市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韶关市站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武江区站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b/>
                <w:bCs/>
                <w:i/>
                <w:iCs/>
                <w:kern w:val="0"/>
                <w:sz w:val="22"/>
              </w:rPr>
            </w:pPr>
            <w:r>
              <w:rPr>
                <w:rFonts w:ascii="宋体" w:hAnsi="宋体" w:cs="宋体" w:hint="eastAsia"/>
                <w:b/>
                <w:bCs/>
                <w:i/>
                <w:iCs/>
                <w:kern w:val="0"/>
                <w:sz w:val="22"/>
              </w:rPr>
              <w:t>浈江区站</w:t>
            </w:r>
          </w:p>
        </w:tc>
        <w:tc>
          <w:tcPr>
            <w:tcW w:w="1392"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992"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993"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851"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709"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c>
          <w:tcPr>
            <w:tcW w:w="709" w:type="dxa"/>
            <w:vAlign w:val="center"/>
          </w:tcPr>
          <w:p w:rsidR="00C7667F" w:rsidRDefault="00C7667F" w:rsidP="00972F20">
            <w:pPr>
              <w:widowControl/>
              <w:jc w:val="center"/>
              <w:rPr>
                <w:rFonts w:ascii="宋体" w:hAnsi="宋体" w:cs="宋体"/>
                <w:b/>
                <w:bCs/>
                <w:i/>
                <w:iCs/>
                <w:kern w:val="0"/>
                <w:sz w:val="22"/>
              </w:rPr>
            </w:pPr>
            <w:r>
              <w:rPr>
                <w:rFonts w:ascii="宋体" w:hAnsi="宋体" w:cs="宋体" w:hint="eastAsia"/>
                <w:b/>
                <w:bCs/>
                <w:i/>
                <w:iCs/>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曲江区站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始兴县站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仁化县站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翁源县站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乳源瑶族自治县站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新丰县站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乐昌市站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南雄市站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67</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湛江市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湛江市站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赤坎区站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霞山区站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坡头区站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麻章区站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开发区站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遂溪县站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徐闻县站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廉江市站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雷州市站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吴川市站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338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117</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肇庆市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肇庆市站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鼎湖区站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广宁县站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怀集县站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封开县站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德庆县站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高要市站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四会市站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454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134</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江门市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江门市站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蓬江区站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97</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江海区站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新会区站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192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台山市站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开平市站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250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鹤山市站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恩平市站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1293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451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463</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茂名市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茂名市建监局</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茂南区站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电白区站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化州市站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信宜市站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43</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惠州市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惠州市站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惠城区站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惠阳区站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大亚湾站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仲恺区站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博罗县站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惠东县站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龙门县站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561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118</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梅州市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梅州市站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梅江区站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梅县站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大埔县站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丰顺县站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五华县站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平远县站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蕉岭县站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兴宁市站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271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汕尾市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汕尾市站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城区站站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海丰县站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陆河县站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陆丰市站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河源市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河源市站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源城区站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紫金县站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龙川县站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连平县站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和平县站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东源县站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阳江市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阳江市站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江城区站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海陵岛站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高新区站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阳西县站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阳东县站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阳春市站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274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清远市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清远市站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268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339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清城区站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佛冈县站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阳山县站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连山壮族瑶族自治县站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连南瑶族自治县站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清新县站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46</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47</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英德市站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244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连州市站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777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510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27</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537</w:t>
            </w:r>
          </w:p>
        </w:tc>
      </w:tr>
      <w:tr w:rsidR="00C7667F" w:rsidTr="00972F20">
        <w:trPr>
          <w:trHeight w:val="270"/>
          <w:jc w:val="center"/>
        </w:trPr>
        <w:tc>
          <w:tcPr>
            <w:tcW w:w="1033"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东莞市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东莞市站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617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25</w:t>
            </w:r>
          </w:p>
        </w:tc>
      </w:tr>
      <w:tr w:rsidR="00C7667F" w:rsidTr="00972F20">
        <w:trPr>
          <w:trHeight w:val="270"/>
          <w:jc w:val="center"/>
        </w:trPr>
        <w:tc>
          <w:tcPr>
            <w:tcW w:w="1033"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中山市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中山市站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1110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234</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潮州市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潮州市站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湘桥区站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潮安县站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饶平县站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枫溪区站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经济开发区站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13</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揭阳市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揭阳市站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榕城区站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揭东区站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15</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揭西县站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b/>
                <w:i/>
                <w:kern w:val="0"/>
                <w:sz w:val="24"/>
                <w:szCs w:val="24"/>
              </w:rPr>
            </w:pPr>
            <w:r>
              <w:rPr>
                <w:rFonts w:ascii="宋体" w:hAnsi="宋体" w:cs="宋体" w:hint="eastAsia"/>
                <w:b/>
                <w:i/>
                <w:kern w:val="0"/>
                <w:sz w:val="24"/>
                <w:szCs w:val="24"/>
              </w:rPr>
              <w:t>惠来县站</w:t>
            </w:r>
          </w:p>
        </w:tc>
        <w:tc>
          <w:tcPr>
            <w:tcW w:w="1392"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5</w:t>
            </w:r>
          </w:p>
        </w:tc>
        <w:tc>
          <w:tcPr>
            <w:tcW w:w="992"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0</w:t>
            </w:r>
          </w:p>
        </w:tc>
        <w:tc>
          <w:tcPr>
            <w:tcW w:w="993"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0</w:t>
            </w:r>
          </w:p>
        </w:tc>
        <w:tc>
          <w:tcPr>
            <w:tcW w:w="851"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0</w:t>
            </w:r>
          </w:p>
        </w:tc>
        <w:tc>
          <w:tcPr>
            <w:tcW w:w="709"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0</w:t>
            </w:r>
          </w:p>
        </w:tc>
        <w:tc>
          <w:tcPr>
            <w:tcW w:w="709" w:type="dxa"/>
            <w:vAlign w:val="center"/>
          </w:tcPr>
          <w:p w:rsidR="00C7667F" w:rsidRDefault="00C7667F" w:rsidP="00972F20">
            <w:pPr>
              <w:widowControl/>
              <w:jc w:val="center"/>
              <w:rPr>
                <w:rFonts w:ascii="宋体" w:hAnsi="宋体" w:cs="宋体"/>
                <w:b/>
                <w:i/>
                <w:kern w:val="0"/>
                <w:sz w:val="24"/>
                <w:szCs w:val="24"/>
              </w:rPr>
            </w:pPr>
            <w:r>
              <w:rPr>
                <w:rFonts w:ascii="宋体" w:hAnsi="宋体" w:cs="宋体" w:hint="eastAsia"/>
                <w:b/>
                <w:i/>
                <w:kern w:val="0"/>
                <w:sz w:val="24"/>
                <w:szCs w:val="24"/>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普宁市站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产业园转移园站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空港经济区</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w:t>
            </w:r>
          </w:p>
        </w:tc>
      </w:tr>
      <w:tr w:rsidR="00C7667F" w:rsidTr="00972F20">
        <w:trPr>
          <w:trHeight w:val="270"/>
          <w:jc w:val="center"/>
        </w:trPr>
        <w:tc>
          <w:tcPr>
            <w:tcW w:w="1033" w:type="dxa"/>
            <w:vMerge w:val="restart"/>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云浮市</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云浮市站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63</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34</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39</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云城区站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新兴县站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34</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郁南县站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16</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云安县站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罗定市站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48</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9</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r>
      <w:tr w:rsidR="00C7667F" w:rsidTr="00972F20">
        <w:trPr>
          <w:trHeight w:val="270"/>
          <w:jc w:val="center"/>
        </w:trPr>
        <w:tc>
          <w:tcPr>
            <w:tcW w:w="1033" w:type="dxa"/>
            <w:vMerge/>
            <w:vAlign w:val="center"/>
          </w:tcPr>
          <w:p w:rsidR="00C7667F" w:rsidRDefault="00C7667F" w:rsidP="00972F20">
            <w:pPr>
              <w:widowControl/>
              <w:jc w:val="left"/>
              <w:rPr>
                <w:rFonts w:ascii="宋体" w:hAnsi="宋体" w:cs="宋体"/>
                <w:color w:val="000000"/>
                <w:kern w:val="0"/>
                <w:sz w:val="22"/>
              </w:rPr>
            </w:pP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180</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66</w:t>
            </w:r>
          </w:p>
        </w:tc>
      </w:tr>
      <w:tr w:rsidR="00C7667F" w:rsidTr="00972F20">
        <w:trPr>
          <w:trHeight w:val="270"/>
          <w:jc w:val="center"/>
        </w:trPr>
        <w:tc>
          <w:tcPr>
            <w:tcW w:w="103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顺德区</w:t>
            </w:r>
          </w:p>
        </w:tc>
        <w:tc>
          <w:tcPr>
            <w:tcW w:w="1982" w:type="dxa"/>
            <w:vAlign w:val="center"/>
          </w:tcPr>
          <w:p w:rsidR="00C7667F" w:rsidRDefault="00C7667F" w:rsidP="00972F20">
            <w:pPr>
              <w:widowControl/>
              <w:jc w:val="left"/>
              <w:rPr>
                <w:rFonts w:ascii="宋体" w:hAnsi="宋体" w:cs="宋体"/>
                <w:kern w:val="0"/>
                <w:sz w:val="22"/>
              </w:rPr>
            </w:pPr>
            <w:r>
              <w:rPr>
                <w:rFonts w:ascii="宋体" w:hAnsi="宋体" w:cs="宋体" w:hint="eastAsia"/>
                <w:kern w:val="0"/>
                <w:sz w:val="22"/>
              </w:rPr>
              <w:t>顺德区站</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509</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5</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233</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0</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238</w:t>
            </w:r>
          </w:p>
        </w:tc>
      </w:tr>
      <w:tr w:rsidR="00C7667F" w:rsidTr="00972F20">
        <w:trPr>
          <w:trHeight w:val="270"/>
          <w:jc w:val="center"/>
        </w:trPr>
        <w:tc>
          <w:tcPr>
            <w:tcW w:w="3015" w:type="dxa"/>
            <w:gridSpan w:val="2"/>
            <w:vAlign w:val="center"/>
          </w:tcPr>
          <w:p w:rsidR="00C7667F" w:rsidRDefault="00C7667F" w:rsidP="00972F20">
            <w:pPr>
              <w:widowControl/>
              <w:jc w:val="center"/>
              <w:rPr>
                <w:rFonts w:ascii="宋体" w:hAnsi="宋体" w:cs="宋体"/>
                <w:kern w:val="0"/>
                <w:sz w:val="22"/>
              </w:rPr>
            </w:pPr>
            <w:r>
              <w:rPr>
                <w:rFonts w:ascii="宋体" w:hAnsi="宋体" w:cs="宋体" w:hint="eastAsia"/>
                <w:color w:val="000000"/>
                <w:kern w:val="0"/>
                <w:sz w:val="22"/>
              </w:rPr>
              <w:t>合计</w:t>
            </w:r>
          </w:p>
        </w:tc>
        <w:tc>
          <w:tcPr>
            <w:tcW w:w="13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712</w:t>
            </w:r>
          </w:p>
        </w:tc>
        <w:tc>
          <w:tcPr>
            <w:tcW w:w="992"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11467</w:t>
            </w:r>
          </w:p>
        </w:tc>
        <w:tc>
          <w:tcPr>
            <w:tcW w:w="993"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10</w:t>
            </w:r>
          </w:p>
        </w:tc>
        <w:tc>
          <w:tcPr>
            <w:tcW w:w="851"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3588</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205</w:t>
            </w:r>
          </w:p>
        </w:tc>
        <w:tc>
          <w:tcPr>
            <w:tcW w:w="709" w:type="dxa"/>
            <w:vAlign w:val="center"/>
          </w:tcPr>
          <w:p w:rsidR="00C7667F" w:rsidRDefault="00C7667F" w:rsidP="00972F20">
            <w:pPr>
              <w:widowControl/>
              <w:jc w:val="center"/>
              <w:rPr>
                <w:rFonts w:ascii="宋体" w:hAnsi="宋体" w:cs="宋体"/>
                <w:kern w:val="0"/>
                <w:sz w:val="22"/>
              </w:rPr>
            </w:pPr>
            <w:r>
              <w:rPr>
                <w:rFonts w:ascii="宋体" w:hAnsi="宋体" w:cs="宋体" w:hint="eastAsia"/>
                <w:kern w:val="0"/>
                <w:sz w:val="22"/>
              </w:rPr>
              <w:t>3803</w:t>
            </w:r>
          </w:p>
        </w:tc>
      </w:tr>
    </w:tbl>
    <w:p w:rsidR="00C7667F" w:rsidRDefault="00C7667F" w:rsidP="00C7667F">
      <w:pPr>
        <w:jc w:val="left"/>
        <w:rPr>
          <w:rFonts w:ascii="仿宋_GB2312" w:eastAsia="仿宋_GB2312"/>
          <w:sz w:val="32"/>
          <w:szCs w:val="32"/>
        </w:rPr>
      </w:pPr>
    </w:p>
    <w:p w:rsidR="00C7667F" w:rsidRDefault="00C7667F" w:rsidP="00C7667F">
      <w:pPr>
        <w:jc w:val="left"/>
        <w:rPr>
          <w:rFonts w:ascii="仿宋_GB2312" w:eastAsia="仿宋_GB2312"/>
          <w:sz w:val="32"/>
          <w:szCs w:val="32"/>
        </w:rPr>
      </w:pPr>
      <w:r>
        <w:rPr>
          <w:rFonts w:ascii="仿宋" w:eastAsia="仿宋" w:hAnsi="仿宋" w:hint="eastAsia"/>
          <w:sz w:val="28"/>
          <w:szCs w:val="28"/>
        </w:rPr>
        <w:br w:type="page"/>
      </w:r>
      <w:r>
        <w:rPr>
          <w:rFonts w:ascii="黑体" w:eastAsia="黑体" w:hAnsi="黑体" w:hint="eastAsia"/>
          <w:sz w:val="32"/>
          <w:szCs w:val="32"/>
        </w:rPr>
        <w:lastRenderedPageBreak/>
        <w:t>附件2</w:t>
      </w:r>
    </w:p>
    <w:p w:rsidR="00C7667F" w:rsidRDefault="00C7667F" w:rsidP="00C7667F">
      <w:pPr>
        <w:jc w:val="center"/>
        <w:rPr>
          <w:rFonts w:ascii="楷体" w:eastAsia="楷体" w:hAnsi="楷体"/>
          <w:b/>
          <w:sz w:val="36"/>
          <w:szCs w:val="36"/>
        </w:rPr>
      </w:pPr>
      <w:r>
        <w:rPr>
          <w:rFonts w:ascii="楷体" w:eastAsia="楷体" w:hAnsi="楷体" w:hint="eastAsia"/>
          <w:b/>
          <w:sz w:val="36"/>
          <w:szCs w:val="36"/>
        </w:rPr>
        <w:t>标准化评定系统登录次数偏少机构汇总表</w:t>
      </w:r>
    </w:p>
    <w:tbl>
      <w:tblPr>
        <w:tblW w:w="0" w:type="auto"/>
        <w:jc w:val="center"/>
        <w:tblLayout w:type="fixed"/>
        <w:tblLook w:val="0000"/>
      </w:tblPr>
      <w:tblGrid>
        <w:gridCol w:w="836"/>
        <w:gridCol w:w="956"/>
        <w:gridCol w:w="6276"/>
        <w:gridCol w:w="1490"/>
      </w:tblGrid>
      <w:tr w:rsidR="00C7667F" w:rsidTr="00972F20">
        <w:trPr>
          <w:trHeight w:val="419"/>
          <w:jc w:val="center"/>
        </w:trPr>
        <w:tc>
          <w:tcPr>
            <w:tcW w:w="836" w:type="dxa"/>
            <w:tcBorders>
              <w:top w:val="single" w:sz="4" w:space="0" w:color="auto"/>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b/>
                <w:color w:val="000000"/>
                <w:kern w:val="0"/>
                <w:sz w:val="24"/>
                <w:szCs w:val="24"/>
              </w:rPr>
            </w:pPr>
            <w:r>
              <w:rPr>
                <w:rFonts w:ascii="宋体" w:hAnsi="宋体" w:cs="宋体" w:hint="eastAsia"/>
                <w:b/>
                <w:color w:val="000000"/>
                <w:kern w:val="0"/>
                <w:sz w:val="24"/>
                <w:szCs w:val="24"/>
              </w:rPr>
              <w:t>序号</w:t>
            </w:r>
          </w:p>
        </w:tc>
        <w:tc>
          <w:tcPr>
            <w:tcW w:w="956" w:type="dxa"/>
            <w:tcBorders>
              <w:top w:val="single" w:sz="4" w:space="0" w:color="auto"/>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b/>
                <w:color w:val="000000"/>
                <w:kern w:val="0"/>
                <w:sz w:val="24"/>
                <w:szCs w:val="24"/>
              </w:rPr>
            </w:pPr>
            <w:r>
              <w:rPr>
                <w:rFonts w:ascii="宋体" w:hAnsi="宋体" w:cs="宋体" w:hint="eastAsia"/>
                <w:b/>
                <w:color w:val="000000"/>
                <w:kern w:val="0"/>
                <w:sz w:val="24"/>
                <w:szCs w:val="24"/>
              </w:rPr>
              <w:t>地区</w:t>
            </w:r>
          </w:p>
        </w:tc>
        <w:tc>
          <w:tcPr>
            <w:tcW w:w="6276" w:type="dxa"/>
            <w:tcBorders>
              <w:top w:val="single" w:sz="4" w:space="0" w:color="auto"/>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b/>
                <w:color w:val="000000"/>
                <w:kern w:val="0"/>
                <w:sz w:val="24"/>
                <w:szCs w:val="24"/>
              </w:rPr>
            </w:pPr>
            <w:r>
              <w:rPr>
                <w:rFonts w:ascii="宋体" w:hAnsi="宋体" w:cs="宋体" w:hint="eastAsia"/>
                <w:b/>
                <w:color w:val="000000"/>
                <w:kern w:val="0"/>
                <w:sz w:val="24"/>
                <w:szCs w:val="24"/>
              </w:rPr>
              <w:t>账号所对应机构名称</w:t>
            </w:r>
          </w:p>
        </w:tc>
        <w:tc>
          <w:tcPr>
            <w:tcW w:w="1490" w:type="dxa"/>
            <w:tcBorders>
              <w:top w:val="single" w:sz="4" w:space="0" w:color="auto"/>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b/>
                <w:color w:val="000000"/>
                <w:kern w:val="0"/>
                <w:sz w:val="24"/>
                <w:szCs w:val="24"/>
              </w:rPr>
            </w:pPr>
            <w:r>
              <w:rPr>
                <w:rFonts w:ascii="宋体" w:hAnsi="宋体" w:cs="宋体" w:hint="eastAsia"/>
                <w:b/>
                <w:color w:val="000000"/>
                <w:kern w:val="0"/>
                <w:sz w:val="24"/>
                <w:szCs w:val="24"/>
              </w:rPr>
              <w:t>2016年登录次数</w:t>
            </w:r>
          </w:p>
        </w:tc>
      </w:tr>
      <w:tr w:rsidR="00C7667F" w:rsidTr="00972F20">
        <w:trPr>
          <w:trHeight w:val="489"/>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深圳市南山区施工安全监督站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0</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2</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珠海</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珠海市万山海洋开发试验区建设工程质量监督站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0</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3</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韶关市浈江区安全监督站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0</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佛山</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佛山市佛山新城建设管理委员会城市建设管理局</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0</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5</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珠海</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珠海市香洲区安全监督站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0</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6</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湛江</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湛江市赤坎区安全监督站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7</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湛江</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湛江市霞山区安全监督站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8</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深圳大鹏新区建设工程质量安全监督站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9</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茂名</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茂名高州市建设工程质量监督站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2</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10</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汕尾</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汕尾市城区建筑工程质量安全监督站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2</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11</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广州</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广州市黄埔区建设工程质量安全监督站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2</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12</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揭阳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揭阳市产业园转移园建筑工程质量安全监督站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3</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13</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韶关市武江区安全监督站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5</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14</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茂名</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茂名市茂南区安全监督站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6</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15</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深圳市龙华新区建设工程质量安全监督站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8</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16</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汕尾</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汕尾市陆河县建筑工程质量安全监督站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14</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17</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揭阳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揭阳市揭西县工程质量安全监督站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15</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18</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深圳市罗湖区建设工程事务监督管理中心</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17</w:t>
            </w:r>
          </w:p>
        </w:tc>
      </w:tr>
      <w:tr w:rsidR="00C7667F" w:rsidTr="00972F20">
        <w:trPr>
          <w:trHeight w:val="270"/>
          <w:jc w:val="center"/>
        </w:trPr>
        <w:tc>
          <w:tcPr>
            <w:tcW w:w="836" w:type="dxa"/>
            <w:tcBorders>
              <w:top w:val="nil"/>
              <w:left w:val="single" w:sz="4" w:space="0" w:color="auto"/>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color w:val="000000"/>
                <w:kern w:val="0"/>
                <w:sz w:val="28"/>
                <w:szCs w:val="28"/>
              </w:rPr>
            </w:pPr>
            <w:r>
              <w:rPr>
                <w:rFonts w:ascii="宋体" w:hAnsi="宋体" w:cs="宋体" w:hint="eastAsia"/>
                <w:color w:val="000000"/>
                <w:kern w:val="0"/>
                <w:sz w:val="28"/>
                <w:szCs w:val="28"/>
              </w:rPr>
              <w:t>19</w:t>
            </w:r>
          </w:p>
        </w:tc>
        <w:tc>
          <w:tcPr>
            <w:tcW w:w="95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w:t>
            </w:r>
          </w:p>
        </w:tc>
        <w:tc>
          <w:tcPr>
            <w:tcW w:w="6276"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left"/>
              <w:rPr>
                <w:rFonts w:ascii="宋体" w:hAnsi="宋体" w:cs="宋体"/>
                <w:kern w:val="0"/>
                <w:sz w:val="28"/>
                <w:szCs w:val="28"/>
              </w:rPr>
            </w:pPr>
            <w:r>
              <w:rPr>
                <w:rFonts w:ascii="宋体" w:hAnsi="宋体" w:cs="宋体" w:hint="eastAsia"/>
                <w:kern w:val="0"/>
                <w:sz w:val="28"/>
                <w:szCs w:val="28"/>
              </w:rPr>
              <w:t>韶关市翁源县建筑工程质量安全监督站</w:t>
            </w:r>
          </w:p>
        </w:tc>
        <w:tc>
          <w:tcPr>
            <w:tcW w:w="1490" w:type="dxa"/>
            <w:tcBorders>
              <w:top w:val="nil"/>
              <w:left w:val="nil"/>
              <w:bottom w:val="single" w:sz="4" w:space="0" w:color="auto"/>
              <w:right w:val="single" w:sz="4" w:space="0" w:color="auto"/>
            </w:tcBorders>
            <w:vAlign w:val="center"/>
          </w:tcPr>
          <w:p w:rsidR="00C7667F" w:rsidRDefault="00C7667F" w:rsidP="00972F20">
            <w:pPr>
              <w:widowControl/>
              <w:spacing w:line="540" w:lineRule="exact"/>
              <w:jc w:val="center"/>
              <w:rPr>
                <w:rFonts w:ascii="宋体" w:hAnsi="宋体" w:cs="宋体"/>
                <w:kern w:val="0"/>
                <w:sz w:val="28"/>
                <w:szCs w:val="28"/>
              </w:rPr>
            </w:pPr>
            <w:r>
              <w:rPr>
                <w:rFonts w:ascii="宋体" w:hAnsi="宋体" w:cs="宋体" w:hint="eastAsia"/>
                <w:kern w:val="0"/>
                <w:sz w:val="28"/>
                <w:szCs w:val="28"/>
              </w:rPr>
              <w:t>17</w:t>
            </w:r>
          </w:p>
        </w:tc>
      </w:tr>
    </w:tbl>
    <w:p w:rsidR="00C7667F" w:rsidRDefault="00C7667F" w:rsidP="00C7667F"/>
    <w:p w:rsidR="00C7667F" w:rsidRDefault="00C7667F" w:rsidP="00C7667F">
      <w:pPr>
        <w:jc w:val="left"/>
        <w:rPr>
          <w:rFonts w:ascii="仿宋_GB2312" w:eastAsia="仿宋_GB2312"/>
          <w:sz w:val="32"/>
          <w:szCs w:val="32"/>
        </w:rPr>
      </w:pPr>
      <w:r>
        <w:rPr>
          <w:rFonts w:ascii="仿宋" w:eastAsia="仿宋" w:hAnsi="仿宋" w:hint="eastAsia"/>
          <w:sz w:val="28"/>
          <w:szCs w:val="28"/>
        </w:rPr>
        <w:br w:type="page"/>
      </w:r>
      <w:r>
        <w:rPr>
          <w:rFonts w:ascii="黑体" w:eastAsia="黑体" w:hAnsi="黑体" w:hint="eastAsia"/>
          <w:sz w:val="32"/>
          <w:szCs w:val="32"/>
        </w:rPr>
        <w:lastRenderedPageBreak/>
        <w:t>附件3</w:t>
      </w:r>
    </w:p>
    <w:p w:rsidR="00C7667F" w:rsidRDefault="00C7667F" w:rsidP="00C7667F">
      <w:pPr>
        <w:jc w:val="center"/>
        <w:rPr>
          <w:rFonts w:ascii="楷体" w:eastAsia="楷体" w:hAnsi="楷体"/>
          <w:b/>
          <w:sz w:val="36"/>
          <w:szCs w:val="36"/>
        </w:rPr>
      </w:pPr>
      <w:r>
        <w:rPr>
          <w:rFonts w:ascii="楷体" w:eastAsia="楷体" w:hAnsi="楷体" w:cs="宋体" w:hint="eastAsia"/>
          <w:b/>
          <w:color w:val="000000"/>
          <w:kern w:val="0"/>
          <w:sz w:val="36"/>
          <w:szCs w:val="36"/>
        </w:rPr>
        <w:t>2016年度全省在建项目标准化评定开展情况统计表</w:t>
      </w:r>
    </w:p>
    <w:tbl>
      <w:tblPr>
        <w:tblW w:w="0" w:type="auto"/>
        <w:jc w:val="center"/>
        <w:tblLayout w:type="fixed"/>
        <w:tblLook w:val="0000"/>
      </w:tblPr>
      <w:tblGrid>
        <w:gridCol w:w="1495"/>
        <w:gridCol w:w="2002"/>
        <w:gridCol w:w="2032"/>
        <w:gridCol w:w="2835"/>
      </w:tblGrid>
      <w:tr w:rsidR="00C7667F" w:rsidTr="00972F20">
        <w:trPr>
          <w:trHeight w:val="1080"/>
          <w:jc w:val="center"/>
        </w:trPr>
        <w:tc>
          <w:tcPr>
            <w:tcW w:w="1495" w:type="dxa"/>
            <w:tcBorders>
              <w:top w:val="single" w:sz="4" w:space="0" w:color="auto"/>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b/>
                <w:color w:val="000000"/>
                <w:kern w:val="0"/>
                <w:szCs w:val="21"/>
              </w:rPr>
            </w:pPr>
            <w:r>
              <w:rPr>
                <w:rFonts w:ascii="宋体" w:hAnsi="宋体" w:cs="宋体" w:hint="eastAsia"/>
                <w:b/>
                <w:color w:val="000000"/>
                <w:kern w:val="0"/>
                <w:szCs w:val="21"/>
              </w:rPr>
              <w:t>地区</w:t>
            </w:r>
          </w:p>
        </w:tc>
        <w:tc>
          <w:tcPr>
            <w:tcW w:w="2002" w:type="dxa"/>
            <w:tcBorders>
              <w:top w:val="single" w:sz="4" w:space="0" w:color="auto"/>
              <w:left w:val="nil"/>
              <w:bottom w:val="single" w:sz="4" w:space="0" w:color="auto"/>
              <w:right w:val="single" w:sz="4" w:space="0" w:color="auto"/>
            </w:tcBorders>
            <w:vAlign w:val="center"/>
          </w:tcPr>
          <w:p w:rsidR="00C7667F" w:rsidRDefault="00C7667F" w:rsidP="00972F20">
            <w:pPr>
              <w:widowControl/>
              <w:jc w:val="center"/>
              <w:rPr>
                <w:rFonts w:ascii="宋体" w:hAnsi="宋体" w:cs="宋体"/>
                <w:b/>
                <w:color w:val="000000"/>
                <w:kern w:val="0"/>
                <w:sz w:val="22"/>
              </w:rPr>
            </w:pPr>
            <w:r>
              <w:rPr>
                <w:rFonts w:ascii="宋体" w:hAnsi="宋体" w:cs="宋体" w:hint="eastAsia"/>
                <w:b/>
                <w:color w:val="000000"/>
                <w:kern w:val="0"/>
                <w:sz w:val="22"/>
              </w:rPr>
              <w:t>质量安全监管平台登记的在建工程（项）</w:t>
            </w:r>
          </w:p>
        </w:tc>
        <w:tc>
          <w:tcPr>
            <w:tcW w:w="2032" w:type="dxa"/>
            <w:tcBorders>
              <w:top w:val="single" w:sz="4" w:space="0" w:color="auto"/>
              <w:left w:val="nil"/>
              <w:bottom w:val="single" w:sz="4" w:space="0" w:color="auto"/>
              <w:right w:val="single" w:sz="4" w:space="0" w:color="auto"/>
            </w:tcBorders>
            <w:vAlign w:val="center"/>
          </w:tcPr>
          <w:p w:rsidR="00C7667F" w:rsidRDefault="00C7667F" w:rsidP="00972F20">
            <w:pPr>
              <w:widowControl/>
              <w:jc w:val="center"/>
              <w:rPr>
                <w:rFonts w:ascii="宋体" w:hAnsi="宋体" w:cs="宋体"/>
                <w:b/>
                <w:color w:val="000000"/>
                <w:kern w:val="0"/>
                <w:sz w:val="22"/>
              </w:rPr>
            </w:pPr>
            <w:r>
              <w:rPr>
                <w:rFonts w:ascii="宋体" w:hAnsi="宋体" w:cs="宋体" w:hint="eastAsia"/>
                <w:b/>
                <w:color w:val="000000"/>
                <w:kern w:val="0"/>
                <w:sz w:val="22"/>
              </w:rPr>
              <w:t>纳入标准化评定管理的在建工程</w:t>
            </w:r>
          </w:p>
          <w:p w:rsidR="00C7667F" w:rsidRDefault="00C7667F" w:rsidP="00972F20">
            <w:pPr>
              <w:widowControl/>
              <w:jc w:val="center"/>
              <w:rPr>
                <w:rFonts w:ascii="宋体" w:hAnsi="宋体" w:cs="宋体"/>
                <w:b/>
                <w:color w:val="000000"/>
                <w:kern w:val="0"/>
                <w:sz w:val="22"/>
              </w:rPr>
            </w:pPr>
            <w:r>
              <w:rPr>
                <w:rFonts w:ascii="宋体" w:hAnsi="宋体" w:cs="宋体" w:hint="eastAsia"/>
                <w:b/>
                <w:color w:val="000000"/>
                <w:kern w:val="0"/>
                <w:sz w:val="22"/>
              </w:rPr>
              <w:t>（项）</w:t>
            </w:r>
          </w:p>
        </w:tc>
        <w:tc>
          <w:tcPr>
            <w:tcW w:w="2835" w:type="dxa"/>
            <w:tcBorders>
              <w:top w:val="single" w:sz="4" w:space="0" w:color="auto"/>
              <w:left w:val="nil"/>
              <w:bottom w:val="single" w:sz="4" w:space="0" w:color="auto"/>
              <w:right w:val="single" w:sz="4" w:space="0" w:color="auto"/>
            </w:tcBorders>
            <w:vAlign w:val="center"/>
          </w:tcPr>
          <w:p w:rsidR="00C7667F" w:rsidRDefault="00C7667F" w:rsidP="00972F20">
            <w:pPr>
              <w:widowControl/>
              <w:jc w:val="center"/>
              <w:rPr>
                <w:rFonts w:ascii="宋体" w:hAnsi="宋体" w:cs="宋体"/>
                <w:b/>
                <w:color w:val="000000"/>
                <w:kern w:val="0"/>
                <w:sz w:val="22"/>
              </w:rPr>
            </w:pPr>
            <w:r>
              <w:rPr>
                <w:rFonts w:ascii="宋体" w:hAnsi="宋体" w:cs="宋体" w:hint="eastAsia"/>
                <w:b/>
                <w:color w:val="000000"/>
                <w:kern w:val="0"/>
                <w:sz w:val="22"/>
              </w:rPr>
              <w:t>标准化评定覆盖率</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Cs w:val="21"/>
              </w:rPr>
            </w:pPr>
            <w:r>
              <w:rPr>
                <w:rFonts w:ascii="宋体" w:hAnsi="宋体" w:cs="宋体" w:hint="eastAsia"/>
                <w:color w:val="000000"/>
                <w:kern w:val="0"/>
                <w:szCs w:val="21"/>
              </w:rPr>
              <w:t>省  属</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广州市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2363</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1266</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53.6%</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深圳市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1764</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464</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珠海市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933</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351</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37.6%</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汕头市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520</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34.4%</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佛山市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3810</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2098</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55.1%</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韶关市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53.7%</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湛江市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807</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338</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41.9%</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肇庆市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708</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454</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64.1%</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江门市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1445</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1293</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89.5%</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茂名市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548</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38.9%</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惠州市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1596</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561</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35.2%</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梅州市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314</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86.3%</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汕尾市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64.6%</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河源市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90.5%</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阳江市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90.4%</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清远市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1387</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777</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56.0%</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东莞市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617</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617</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中山市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3455</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1110</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32.1%</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潮州市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84.3%</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揭阳市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71.6%</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云浮市</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61.2%</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2"/>
              </w:rPr>
            </w:pPr>
            <w:r>
              <w:rPr>
                <w:rFonts w:ascii="宋体" w:hAnsi="宋体" w:cs="宋体" w:hint="eastAsia"/>
                <w:color w:val="000000"/>
                <w:kern w:val="0"/>
                <w:sz w:val="22"/>
              </w:rPr>
              <w:t>顺德区</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559</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509</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91.1%</w:t>
            </w:r>
          </w:p>
        </w:tc>
      </w:tr>
      <w:tr w:rsidR="00C7667F" w:rsidTr="00972F20">
        <w:trPr>
          <w:trHeight w:val="270"/>
          <w:jc w:val="center"/>
        </w:trPr>
        <w:tc>
          <w:tcPr>
            <w:tcW w:w="1495" w:type="dxa"/>
            <w:tcBorders>
              <w:top w:val="nil"/>
              <w:left w:val="single" w:sz="4" w:space="0" w:color="auto"/>
              <w:bottom w:val="single" w:sz="4" w:space="0" w:color="auto"/>
              <w:right w:val="single" w:sz="4" w:space="0" w:color="auto"/>
            </w:tcBorders>
            <w:vAlign w:val="center"/>
          </w:tcPr>
          <w:p w:rsidR="00C7667F" w:rsidRDefault="00C7667F" w:rsidP="00972F20">
            <w:pPr>
              <w:widowControl/>
              <w:jc w:val="left"/>
              <w:rPr>
                <w:rFonts w:ascii="宋体" w:hAnsi="宋体" w:cs="宋体"/>
                <w:color w:val="000000"/>
                <w:kern w:val="0"/>
                <w:sz w:val="22"/>
              </w:rPr>
            </w:pPr>
            <w:r>
              <w:rPr>
                <w:rFonts w:ascii="宋体" w:hAnsi="宋体" w:cs="宋体" w:hint="eastAsia"/>
                <w:color w:val="000000"/>
                <w:kern w:val="0"/>
                <w:sz w:val="22"/>
              </w:rPr>
              <w:t>合计</w:t>
            </w:r>
          </w:p>
        </w:tc>
        <w:tc>
          <w:tcPr>
            <w:tcW w:w="200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22156</w:t>
            </w:r>
          </w:p>
        </w:tc>
        <w:tc>
          <w:tcPr>
            <w:tcW w:w="2032"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11464</w:t>
            </w:r>
          </w:p>
        </w:tc>
        <w:tc>
          <w:tcPr>
            <w:tcW w:w="2835" w:type="dxa"/>
            <w:tcBorders>
              <w:top w:val="nil"/>
              <w:left w:val="nil"/>
              <w:bottom w:val="single" w:sz="4" w:space="0" w:color="auto"/>
              <w:right w:val="single" w:sz="4" w:space="0" w:color="auto"/>
            </w:tcBorders>
            <w:vAlign w:val="center"/>
          </w:tcPr>
          <w:p w:rsidR="00C7667F" w:rsidRDefault="00C7667F" w:rsidP="00972F20">
            <w:pPr>
              <w:widowControl/>
              <w:jc w:val="center"/>
              <w:rPr>
                <w:rFonts w:ascii="宋体" w:hAnsi="宋体" w:cs="宋体"/>
                <w:color w:val="000000"/>
                <w:kern w:val="0"/>
                <w:sz w:val="24"/>
                <w:szCs w:val="24"/>
              </w:rPr>
            </w:pPr>
            <w:r>
              <w:rPr>
                <w:rFonts w:ascii="宋体" w:hAnsi="宋体" w:cs="宋体" w:hint="eastAsia"/>
                <w:color w:val="000000"/>
                <w:kern w:val="0"/>
                <w:sz w:val="24"/>
                <w:szCs w:val="24"/>
              </w:rPr>
              <w:t>51.7%</w:t>
            </w:r>
          </w:p>
        </w:tc>
      </w:tr>
    </w:tbl>
    <w:p w:rsidR="00C7667F" w:rsidRDefault="00C7667F" w:rsidP="00C7667F">
      <w:pPr>
        <w:widowControl/>
        <w:jc w:val="left"/>
        <w:rPr>
          <w:rFonts w:ascii="宋体" w:hAnsi="宋体" w:cs="宋体"/>
          <w:kern w:val="0"/>
          <w:sz w:val="22"/>
        </w:rPr>
      </w:pPr>
    </w:p>
    <w:p w:rsidR="00C7667F" w:rsidRDefault="00C7667F" w:rsidP="00C7667F">
      <w:pPr>
        <w:widowControl/>
        <w:jc w:val="left"/>
        <w:rPr>
          <w:rFonts w:ascii="仿宋_GB2312" w:eastAsia="仿宋_GB2312"/>
          <w:sz w:val="32"/>
          <w:szCs w:val="32"/>
        </w:rPr>
      </w:pPr>
      <w:r>
        <w:rPr>
          <w:rFonts w:ascii="宋体" w:hAnsi="宋体" w:cs="宋体" w:hint="eastAsia"/>
          <w:kern w:val="0"/>
          <w:sz w:val="22"/>
        </w:rPr>
        <w:t>注：1.“质量安全监管平台登记的在建工程”的统计范围为2016年年末“广东省房屋市政工程质量安全监管平台”全省在建工程数据（即剔除完工未验收和未开工工程后的数据）；</w:t>
      </w:r>
    </w:p>
    <w:p w:rsidR="00C7667F" w:rsidRDefault="00C7667F" w:rsidP="00C7667F">
      <w:pPr>
        <w:widowControl/>
        <w:ind w:firstLine="450"/>
        <w:jc w:val="left"/>
        <w:rPr>
          <w:rFonts w:ascii="宋体" w:hAnsi="宋体" w:cs="宋体"/>
          <w:kern w:val="0"/>
          <w:sz w:val="22"/>
        </w:rPr>
      </w:pPr>
      <w:r>
        <w:rPr>
          <w:rFonts w:ascii="宋体" w:hAnsi="宋体" w:cs="宋体" w:hint="eastAsia"/>
          <w:kern w:val="0"/>
          <w:sz w:val="22"/>
        </w:rPr>
        <w:t>2.“纳入标准化评定管理的在建工程”的统计范围为标准化评定系统中完成项目信息审核，且尚未完工出具标准化评定结论的项目；</w:t>
      </w:r>
    </w:p>
    <w:p w:rsidR="00C7667F" w:rsidRDefault="00C7667F" w:rsidP="00C7667F">
      <w:pPr>
        <w:widowControl/>
        <w:ind w:firstLine="450"/>
        <w:jc w:val="left"/>
      </w:pPr>
      <w:r>
        <w:rPr>
          <w:rFonts w:ascii="宋体" w:hAnsi="宋体" w:cs="宋体" w:hint="eastAsia"/>
          <w:kern w:val="0"/>
          <w:sz w:val="22"/>
        </w:rPr>
        <w:t>3. “标准化评定覆盖率”计算公式为“纳入标准化评定管理的在建工程”/“质量安全监管平台登记的在建工程”。</w:t>
      </w:r>
    </w:p>
    <w:p w:rsidR="00C7667F" w:rsidRDefault="00C7667F" w:rsidP="00C7667F">
      <w:pPr>
        <w:rPr>
          <w:rFonts w:ascii="仿宋" w:eastAsia="仿宋" w:hAnsi="仿宋"/>
          <w:sz w:val="28"/>
          <w:szCs w:val="28"/>
        </w:rPr>
      </w:pPr>
    </w:p>
    <w:p w:rsidR="00C7667F" w:rsidRDefault="00C7667F" w:rsidP="00C7667F">
      <w:pPr>
        <w:jc w:val="left"/>
        <w:rPr>
          <w:rFonts w:ascii="仿宋_GB2312" w:eastAsia="仿宋_GB2312"/>
          <w:sz w:val="32"/>
          <w:szCs w:val="32"/>
        </w:rPr>
      </w:pPr>
    </w:p>
    <w:p w:rsidR="00225BDB" w:rsidRPr="00C7667F" w:rsidRDefault="00C7667F"/>
    <w:sectPr w:rsidR="00225BDB" w:rsidRPr="00C7667F">
      <w:pgSz w:w="11906" w:h="16838"/>
      <w:pgMar w:top="1440" w:right="1531" w:bottom="1440" w:left="1531"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小标宋">
    <w:altName w:val="Arial Unicode MS"/>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667F"/>
    <w:rsid w:val="00332709"/>
    <w:rsid w:val="006C2CE9"/>
    <w:rsid w:val="00A912DC"/>
    <w:rsid w:val="00C766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67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7667F"/>
  </w:style>
  <w:style w:type="character" w:customStyle="1" w:styleId="Char">
    <w:name w:val="页脚 Char"/>
    <w:link w:val="a4"/>
    <w:rsid w:val="00C7667F"/>
    <w:rPr>
      <w:sz w:val="18"/>
      <w:szCs w:val="18"/>
    </w:rPr>
  </w:style>
  <w:style w:type="character" w:customStyle="1" w:styleId="Char1">
    <w:name w:val="页脚 Char1"/>
    <w:basedOn w:val="a0"/>
    <w:rsid w:val="00C7667F"/>
    <w:rPr>
      <w:sz w:val="18"/>
      <w:szCs w:val="18"/>
    </w:rPr>
  </w:style>
  <w:style w:type="character" w:customStyle="1" w:styleId="Char10">
    <w:name w:val="页眉 Char1"/>
    <w:basedOn w:val="a0"/>
    <w:rsid w:val="00C7667F"/>
    <w:rPr>
      <w:sz w:val="18"/>
      <w:szCs w:val="18"/>
    </w:rPr>
  </w:style>
  <w:style w:type="character" w:customStyle="1" w:styleId="Char0">
    <w:name w:val="页眉 Char"/>
    <w:link w:val="a5"/>
    <w:rsid w:val="00C7667F"/>
    <w:rPr>
      <w:sz w:val="18"/>
      <w:szCs w:val="18"/>
    </w:rPr>
  </w:style>
  <w:style w:type="paragraph" w:styleId="a5">
    <w:name w:val="header"/>
    <w:basedOn w:val="a"/>
    <w:link w:val="Char0"/>
    <w:rsid w:val="00C766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2"/>
    <w:basedOn w:val="a0"/>
    <w:link w:val="a5"/>
    <w:uiPriority w:val="99"/>
    <w:semiHidden/>
    <w:rsid w:val="00C7667F"/>
    <w:rPr>
      <w:rFonts w:ascii="Calibri" w:eastAsia="宋体" w:hAnsi="Calibri" w:cs="Times New Roman"/>
      <w:sz w:val="18"/>
      <w:szCs w:val="18"/>
    </w:rPr>
  </w:style>
  <w:style w:type="paragraph" w:styleId="a4">
    <w:name w:val="footer"/>
    <w:basedOn w:val="a"/>
    <w:link w:val="Char"/>
    <w:rsid w:val="00C766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20">
    <w:name w:val="页脚 Char2"/>
    <w:basedOn w:val="a0"/>
    <w:link w:val="a4"/>
    <w:uiPriority w:val="99"/>
    <w:semiHidden/>
    <w:rsid w:val="00C7667F"/>
    <w:rPr>
      <w:rFonts w:ascii="Calibri" w:eastAsia="宋体" w:hAnsi="Calibri" w:cs="Times New Roman"/>
      <w:sz w:val="18"/>
      <w:szCs w:val="18"/>
    </w:rPr>
  </w:style>
  <w:style w:type="paragraph" w:styleId="a6">
    <w:name w:val="Balloon Text"/>
    <w:basedOn w:val="a"/>
    <w:link w:val="Char3"/>
    <w:uiPriority w:val="99"/>
    <w:semiHidden/>
    <w:unhideWhenUsed/>
    <w:rsid w:val="00C7667F"/>
    <w:rPr>
      <w:sz w:val="18"/>
      <w:szCs w:val="18"/>
    </w:rPr>
  </w:style>
  <w:style w:type="character" w:customStyle="1" w:styleId="Char3">
    <w:name w:val="批注框文本 Char"/>
    <w:basedOn w:val="a0"/>
    <w:link w:val="a6"/>
    <w:uiPriority w:val="99"/>
    <w:semiHidden/>
    <w:rsid w:val="00C7667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1016</Words>
  <Characters>5793</Characters>
  <Application>Microsoft Office Word</Application>
  <DocSecurity>0</DocSecurity>
  <Lines>48</Lines>
  <Paragraphs>13</Paragraphs>
  <ScaleCrop>false</ScaleCrop>
  <Company>微软中国</Company>
  <LinksUpToDate>false</LinksUpToDate>
  <CharactersWithSpaces>6796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1444</dc:creator>
  <cp:lastModifiedBy>1444</cp:lastModifiedBy>
  <cp:revision>1</cp:revision>
  <dcterms:created xsi:type="dcterms:W3CDTF">2017-02-08T09:39:00Z</dcterms:created>
  <dcterms:modified xsi:type="dcterms:W3CDTF">2017-02-08T09:39:00Z</dcterms:modified>
</cp:coreProperties>
</file>